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val="0"/>
          <w:bCs/>
          <w:sz w:val="32"/>
          <w:szCs w:val="32"/>
        </w:rPr>
      </w:pPr>
      <w:r>
        <w:rPr>
          <w:rFonts w:hint="eastAsia" w:ascii="仿宋_GB2312" w:hAnsi="宋体" w:eastAsia="仿宋_GB2312"/>
          <w:b w:val="0"/>
          <w:bCs/>
          <w:sz w:val="32"/>
          <w:szCs w:val="32"/>
        </w:rPr>
        <w:t>附件</w:t>
      </w:r>
      <w:r>
        <w:rPr>
          <w:rFonts w:ascii="仿宋_GB2312" w:hAnsi="宋体" w:eastAsia="仿宋_GB2312"/>
          <w:b w:val="0"/>
          <w:bCs/>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宋体" w:hAnsi="宋体"/>
          <w:b/>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ascii="宋体"/>
          <w:b/>
          <w:sz w:val="44"/>
          <w:szCs w:val="44"/>
        </w:rPr>
      </w:pPr>
      <w:r>
        <w:rPr>
          <w:rFonts w:ascii="宋体" w:hAnsi="宋体"/>
          <w:b/>
          <w:sz w:val="44"/>
          <w:szCs w:val="44"/>
        </w:rPr>
        <w:t>2016</w:t>
      </w:r>
      <w:r>
        <w:rPr>
          <w:rFonts w:hint="eastAsia" w:ascii="宋体" w:hAnsi="宋体"/>
          <w:b/>
          <w:sz w:val="44"/>
          <w:szCs w:val="44"/>
        </w:rPr>
        <w:t>年最低收购价小麦收购质价政策公告牌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1680" w:firstLineChars="200"/>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168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根据国家发展和改革委、财政部、农业部、国家粮食局、中国农业发展银行、中储粮总公司联合下发的</w:t>
      </w:r>
      <w:r>
        <w:rPr>
          <w:rFonts w:hint="eastAsia" w:ascii="仿宋_GB2312" w:hAnsi="宋体" w:eastAsia="仿宋_GB2312"/>
          <w:sz w:val="32"/>
          <w:szCs w:val="30"/>
        </w:rPr>
        <w:t>《关于印发小麦和稻谷最低收购价执行预案的通知》</w:t>
      </w:r>
      <w:r>
        <w:rPr>
          <w:rFonts w:hint="eastAsia" w:ascii="仿宋_GB2312" w:hAnsi="仿宋" w:eastAsia="仿宋_GB2312"/>
          <w:sz w:val="32"/>
          <w:szCs w:val="32"/>
        </w:rPr>
        <w:t>，中储粮总公司自即日起按照规定价格公开挂牌收购最低收购价小麦，预案执行时间为</w:t>
      </w:r>
      <w:r>
        <w:rPr>
          <w:rFonts w:ascii="仿宋_GB2312" w:hAnsi="仿宋" w:eastAsia="仿宋_GB2312"/>
          <w:sz w:val="32"/>
          <w:szCs w:val="32"/>
        </w:rPr>
        <w:t>2016</w:t>
      </w:r>
      <w:r>
        <w:rPr>
          <w:rFonts w:hint="eastAsia" w:ascii="仿宋_GB2312" w:hAnsi="仿宋" w:eastAsia="仿宋_GB2312"/>
          <w:sz w:val="32"/>
          <w:szCs w:val="32"/>
        </w:rPr>
        <w:t>年</w:t>
      </w:r>
      <w:r>
        <w:rPr>
          <w:rFonts w:ascii="仿宋_GB2312" w:hAnsi="仿宋" w:eastAsia="仿宋_GB2312"/>
          <w:sz w:val="32"/>
          <w:szCs w:val="32"/>
        </w:rPr>
        <w:t>5</w:t>
      </w:r>
      <w:r>
        <w:rPr>
          <w:rFonts w:hint="eastAsia" w:ascii="仿宋_GB2312" w:hAnsi="仿宋" w:eastAsia="仿宋_GB2312"/>
          <w:sz w:val="32"/>
          <w:szCs w:val="32"/>
        </w:rPr>
        <w:t>月</w:t>
      </w:r>
      <w:r>
        <w:rPr>
          <w:rFonts w:ascii="仿宋_GB2312" w:hAnsi="仿宋" w:eastAsia="仿宋_GB2312"/>
          <w:sz w:val="32"/>
          <w:szCs w:val="32"/>
        </w:rPr>
        <w:t>21</w:t>
      </w:r>
      <w:r>
        <w:rPr>
          <w:rFonts w:hint="eastAsia" w:ascii="仿宋_GB2312" w:hAnsi="仿宋" w:eastAsia="仿宋_GB2312"/>
          <w:sz w:val="32"/>
          <w:szCs w:val="32"/>
        </w:rPr>
        <w:t>日至</w:t>
      </w:r>
      <w:r>
        <w:rPr>
          <w:rFonts w:ascii="仿宋_GB2312" w:hAnsi="仿宋" w:eastAsia="仿宋_GB2312"/>
          <w:sz w:val="32"/>
          <w:szCs w:val="32"/>
        </w:rPr>
        <w:t>9</w:t>
      </w:r>
      <w:r>
        <w:rPr>
          <w:rFonts w:hint="eastAsia" w:ascii="仿宋_GB2312" w:hAnsi="仿宋" w:eastAsia="仿宋_GB2312"/>
          <w:sz w:val="32"/>
          <w:szCs w:val="32"/>
        </w:rPr>
        <w:t>月</w:t>
      </w:r>
      <w:r>
        <w:rPr>
          <w:rFonts w:ascii="仿宋_GB2312" w:hAnsi="仿宋" w:eastAsia="仿宋_GB2312"/>
          <w:sz w:val="32"/>
          <w:szCs w:val="32"/>
        </w:rPr>
        <w:t>30</w:t>
      </w:r>
      <w:r>
        <w:rPr>
          <w:rFonts w:hint="eastAsia" w:ascii="仿宋_GB2312" w:hAnsi="仿宋" w:eastAsia="仿宋_GB2312"/>
          <w:sz w:val="32"/>
          <w:szCs w:val="32"/>
        </w:rPr>
        <w:t>日。</w:t>
      </w:r>
    </w:p>
    <w:tbl>
      <w:tblPr>
        <w:tblStyle w:val="6"/>
        <w:tblW w:w="9087" w:type="dxa"/>
        <w:tblInd w:w="93" w:type="dxa"/>
        <w:tblLayout w:type="fixed"/>
        <w:tblCellMar>
          <w:top w:w="0" w:type="dxa"/>
          <w:left w:w="108" w:type="dxa"/>
          <w:bottom w:w="0" w:type="dxa"/>
          <w:right w:w="108" w:type="dxa"/>
        </w:tblCellMar>
      </w:tblPr>
      <w:tblGrid>
        <w:gridCol w:w="1291"/>
        <w:gridCol w:w="1276"/>
        <w:gridCol w:w="1134"/>
        <w:gridCol w:w="1276"/>
        <w:gridCol w:w="992"/>
        <w:gridCol w:w="992"/>
        <w:gridCol w:w="1134"/>
        <w:gridCol w:w="992"/>
      </w:tblGrid>
      <w:tr>
        <w:tblPrEx>
          <w:tblLayout w:type="fixed"/>
          <w:tblCellMar>
            <w:top w:w="0" w:type="dxa"/>
            <w:left w:w="108" w:type="dxa"/>
            <w:bottom w:w="0" w:type="dxa"/>
            <w:right w:w="108" w:type="dxa"/>
          </w:tblCellMar>
        </w:tblPrEx>
        <w:trPr>
          <w:trHeight w:val="352" w:hRule="atLeast"/>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等</w:t>
            </w:r>
            <w:r>
              <w:rPr>
                <w:rFonts w:ascii="仿宋_GB2312" w:hAnsi="仿宋" w:eastAsia="仿宋_GB2312" w:cs="宋体"/>
                <w:b/>
                <w:bCs/>
                <w:color w:val="000000"/>
                <w:kern w:val="0"/>
                <w:sz w:val="22"/>
              </w:rPr>
              <w:t xml:space="preserve"> </w:t>
            </w:r>
            <w:r>
              <w:rPr>
                <w:rFonts w:hint="eastAsia" w:ascii="仿宋_GB2312" w:hAnsi="仿宋" w:eastAsia="仿宋_GB2312" w:cs="宋体"/>
                <w:b/>
                <w:bCs/>
                <w:color w:val="000000"/>
                <w:kern w:val="0"/>
                <w:sz w:val="22"/>
              </w:rPr>
              <w:t>级</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价</w:t>
            </w:r>
            <w:r>
              <w:rPr>
                <w:rFonts w:ascii="仿宋_GB2312" w:hAnsi="仿宋" w:eastAsia="仿宋_GB2312" w:cs="宋体"/>
                <w:b/>
                <w:bCs/>
                <w:color w:val="000000"/>
                <w:kern w:val="0"/>
                <w:sz w:val="22"/>
              </w:rPr>
              <w:t xml:space="preserve"> </w:t>
            </w:r>
            <w:r>
              <w:rPr>
                <w:rFonts w:hint="eastAsia" w:ascii="仿宋_GB2312" w:hAnsi="仿宋" w:eastAsia="仿宋_GB2312" w:cs="宋体"/>
                <w:b/>
                <w:bCs/>
                <w:color w:val="000000"/>
                <w:kern w:val="0"/>
                <w:sz w:val="22"/>
              </w:rPr>
              <w:t>格</w:t>
            </w:r>
            <w:r>
              <w:rPr>
                <w:rFonts w:ascii="仿宋_GB2312" w:hAnsi="仿宋" w:eastAsia="仿宋_GB2312" w:cs="宋体"/>
                <w:b/>
                <w:bCs/>
                <w:color w:val="000000"/>
                <w:kern w:val="0"/>
                <w:sz w:val="22"/>
              </w:rPr>
              <w:t xml:space="preserve">   </w:t>
            </w:r>
            <w:r>
              <w:rPr>
                <w:rFonts w:hint="eastAsia" w:ascii="仿宋_GB2312" w:hAnsi="仿宋" w:eastAsia="仿宋_GB2312" w:cs="宋体"/>
                <w:b/>
                <w:bCs/>
                <w:color w:val="000000"/>
                <w:kern w:val="0"/>
                <w:sz w:val="22"/>
              </w:rPr>
              <w:t>（元</w:t>
            </w:r>
            <w:r>
              <w:rPr>
                <w:rFonts w:ascii="仿宋_GB2312" w:hAnsi="仿宋" w:eastAsia="仿宋_GB2312" w:cs="宋体"/>
                <w:b/>
                <w:bCs/>
                <w:color w:val="000000"/>
                <w:kern w:val="0"/>
                <w:sz w:val="22"/>
              </w:rPr>
              <w:t>/</w:t>
            </w:r>
            <w:r>
              <w:rPr>
                <w:rFonts w:hint="eastAsia" w:ascii="仿宋_GB2312" w:hAnsi="仿宋" w:eastAsia="仿宋_GB2312" w:cs="宋体"/>
                <w:b/>
                <w:bCs/>
                <w:color w:val="000000"/>
                <w:kern w:val="0"/>
                <w:sz w:val="22"/>
              </w:rPr>
              <w:t>斤）</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容</w:t>
            </w:r>
            <w:r>
              <w:rPr>
                <w:rFonts w:ascii="仿宋_GB2312" w:hAnsi="仿宋" w:eastAsia="仿宋_GB2312" w:cs="宋体"/>
                <w:b/>
                <w:bCs/>
                <w:color w:val="000000"/>
                <w:kern w:val="0"/>
                <w:sz w:val="22"/>
              </w:rPr>
              <w:t xml:space="preserve"> </w:t>
            </w:r>
            <w:r>
              <w:rPr>
                <w:rFonts w:hint="eastAsia" w:ascii="仿宋_GB2312" w:hAnsi="仿宋" w:eastAsia="仿宋_GB2312" w:cs="宋体"/>
                <w:b/>
                <w:bCs/>
                <w:color w:val="000000"/>
                <w:kern w:val="0"/>
                <w:sz w:val="22"/>
              </w:rPr>
              <w:t>重</w:t>
            </w:r>
            <w:r>
              <w:rPr>
                <w:rFonts w:ascii="仿宋_GB2312" w:hAnsi="仿宋" w:eastAsia="仿宋_GB2312" w:cs="宋体"/>
                <w:b/>
                <w:bCs/>
                <w:color w:val="000000"/>
                <w:kern w:val="0"/>
                <w:sz w:val="22"/>
              </w:rPr>
              <w:t xml:space="preserve">   </w:t>
            </w:r>
            <w:r>
              <w:rPr>
                <w:rFonts w:hint="eastAsia" w:ascii="仿宋_GB2312" w:hAnsi="仿宋" w:eastAsia="仿宋_GB2312" w:cs="宋体"/>
                <w:b/>
                <w:bCs/>
                <w:color w:val="000000"/>
                <w:kern w:val="0"/>
                <w:sz w:val="22"/>
              </w:rPr>
              <w:t>（克</w:t>
            </w:r>
            <w:r>
              <w:rPr>
                <w:rFonts w:ascii="仿宋_GB2312" w:hAnsi="仿宋" w:eastAsia="仿宋_GB2312" w:cs="宋体"/>
                <w:b/>
                <w:bCs/>
                <w:color w:val="000000"/>
                <w:kern w:val="0"/>
                <w:sz w:val="22"/>
              </w:rPr>
              <w:t>/</w:t>
            </w:r>
            <w:r>
              <w:rPr>
                <w:rFonts w:hint="eastAsia" w:ascii="仿宋_GB2312" w:hAnsi="仿宋" w:eastAsia="仿宋_GB2312" w:cs="宋体"/>
                <w:b/>
                <w:bCs/>
                <w:color w:val="000000"/>
                <w:kern w:val="0"/>
                <w:sz w:val="22"/>
              </w:rPr>
              <w:t>升）</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不完善粒（</w:t>
            </w:r>
            <w:r>
              <w:rPr>
                <w:rFonts w:ascii="仿宋_GB2312" w:hAnsi="仿宋" w:eastAsia="仿宋_GB2312" w:cs="宋体"/>
                <w:b/>
                <w:bCs/>
                <w:color w:val="000000"/>
                <w:kern w:val="0"/>
                <w:sz w:val="22"/>
              </w:rPr>
              <w:t>%</w:t>
            </w:r>
            <w:r>
              <w:rPr>
                <w:rFonts w:hint="eastAsia" w:ascii="仿宋_GB2312" w:hAnsi="仿宋" w:eastAsia="仿宋_GB2312" w:cs="宋体"/>
                <w:b/>
                <w:bCs/>
                <w:color w:val="000000"/>
                <w:kern w:val="0"/>
                <w:sz w:val="22"/>
              </w:rPr>
              <w:t>）</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杂</w:t>
            </w:r>
            <w:r>
              <w:rPr>
                <w:rFonts w:ascii="仿宋_GB2312" w:hAnsi="仿宋" w:eastAsia="仿宋_GB2312" w:cs="宋体"/>
                <w:b/>
                <w:bCs/>
                <w:color w:val="000000"/>
                <w:kern w:val="0"/>
                <w:sz w:val="22"/>
              </w:rPr>
              <w:t xml:space="preserve"> </w:t>
            </w:r>
            <w:r>
              <w:rPr>
                <w:rFonts w:hint="eastAsia" w:ascii="仿宋_GB2312" w:hAnsi="仿宋" w:eastAsia="仿宋_GB2312" w:cs="宋体"/>
                <w:b/>
                <w:bCs/>
                <w:color w:val="000000"/>
                <w:kern w:val="0"/>
                <w:sz w:val="22"/>
              </w:rPr>
              <w:t>质（</w:t>
            </w:r>
            <w:r>
              <w:rPr>
                <w:rFonts w:ascii="仿宋_GB2312" w:hAnsi="仿宋" w:eastAsia="仿宋_GB2312" w:cs="宋体"/>
                <w:b/>
                <w:bCs/>
                <w:color w:val="000000"/>
                <w:kern w:val="0"/>
                <w:sz w:val="22"/>
              </w:rPr>
              <w:t>%</w:t>
            </w:r>
            <w:r>
              <w:rPr>
                <w:rFonts w:hint="eastAsia" w:ascii="仿宋_GB2312" w:hAnsi="仿宋" w:eastAsia="仿宋_GB2312" w:cs="宋体"/>
                <w:b/>
                <w:bCs/>
                <w:color w:val="000000"/>
                <w:kern w:val="0"/>
                <w:sz w:val="22"/>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水</w:t>
            </w:r>
            <w:r>
              <w:rPr>
                <w:rFonts w:ascii="仿宋_GB2312" w:hAnsi="仿宋" w:eastAsia="仿宋_GB2312" w:cs="宋体"/>
                <w:b/>
                <w:bCs/>
                <w:color w:val="000000"/>
                <w:kern w:val="0"/>
                <w:sz w:val="22"/>
              </w:rPr>
              <w:t xml:space="preserve"> </w:t>
            </w:r>
            <w:r>
              <w:rPr>
                <w:rFonts w:hint="eastAsia" w:ascii="仿宋_GB2312" w:hAnsi="仿宋" w:eastAsia="仿宋_GB2312" w:cs="宋体"/>
                <w:b/>
                <w:bCs/>
                <w:color w:val="000000"/>
                <w:kern w:val="0"/>
                <w:sz w:val="22"/>
              </w:rPr>
              <w:t>分</w:t>
            </w:r>
            <w:r>
              <w:rPr>
                <w:rFonts w:ascii="仿宋_GB2312" w:hAnsi="仿宋" w:eastAsia="仿宋_GB2312" w:cs="宋体"/>
                <w:b/>
                <w:bCs/>
                <w:color w:val="000000"/>
                <w:kern w:val="0"/>
                <w:sz w:val="22"/>
              </w:rPr>
              <w:t xml:space="preserve">  </w:t>
            </w: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w:t>
            </w:r>
            <w:r>
              <w:rPr>
                <w:rFonts w:hint="eastAsia" w:ascii="仿宋_GB2312" w:hAnsi="仿宋" w:eastAsia="仿宋_GB2312" w:cs="宋体"/>
                <w:b/>
                <w:bCs/>
                <w:color w:val="000000"/>
                <w:kern w:val="0"/>
                <w:sz w:val="22"/>
              </w:rPr>
              <w:t>）</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色</w:t>
            </w:r>
            <w:r>
              <w:rPr>
                <w:rFonts w:ascii="仿宋_GB2312" w:hAnsi="仿宋" w:eastAsia="仿宋_GB2312" w:cs="宋体"/>
                <w:b/>
                <w:bCs/>
                <w:color w:val="000000"/>
                <w:kern w:val="0"/>
                <w:sz w:val="22"/>
              </w:rPr>
              <w:t xml:space="preserve"> </w:t>
            </w:r>
            <w:r>
              <w:rPr>
                <w:rFonts w:hint="eastAsia" w:ascii="仿宋_GB2312" w:hAnsi="仿宋" w:eastAsia="仿宋_GB2312" w:cs="宋体"/>
                <w:b/>
                <w:bCs/>
                <w:color w:val="000000"/>
                <w:kern w:val="0"/>
                <w:sz w:val="22"/>
              </w:rPr>
              <w:t>泽、</w:t>
            </w:r>
          </w:p>
          <w:p>
            <w:pPr>
              <w:widowControl/>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气</w:t>
            </w:r>
            <w:r>
              <w:rPr>
                <w:rFonts w:ascii="仿宋_GB2312" w:hAnsi="仿宋" w:eastAsia="仿宋_GB2312" w:cs="宋体"/>
                <w:b/>
                <w:bCs/>
                <w:color w:val="000000"/>
                <w:kern w:val="0"/>
                <w:sz w:val="22"/>
              </w:rPr>
              <w:t xml:space="preserve"> </w:t>
            </w:r>
            <w:r>
              <w:rPr>
                <w:rFonts w:hint="eastAsia" w:ascii="仿宋_GB2312" w:hAnsi="仿宋" w:eastAsia="仿宋_GB2312" w:cs="宋体"/>
                <w:b/>
                <w:bCs/>
                <w:color w:val="000000"/>
                <w:kern w:val="0"/>
                <w:sz w:val="22"/>
              </w:rPr>
              <w:t>味</w:t>
            </w:r>
          </w:p>
        </w:tc>
      </w:tr>
      <w:tr>
        <w:tblPrEx>
          <w:tblLayout w:type="fixed"/>
          <w:tblCellMar>
            <w:top w:w="0" w:type="dxa"/>
            <w:left w:w="108" w:type="dxa"/>
            <w:bottom w:w="0" w:type="dxa"/>
            <w:right w:w="108" w:type="dxa"/>
          </w:tblCellMar>
        </w:tblPrEx>
        <w:trPr>
          <w:trHeight w:val="470"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总量</w:t>
            </w:r>
          </w:p>
        </w:tc>
        <w:tc>
          <w:tcPr>
            <w:tcW w:w="992"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其中：</w:t>
            </w:r>
            <w:r>
              <w:rPr>
                <w:rFonts w:ascii="仿宋_GB2312" w:hAnsi="仿宋" w:eastAsia="仿宋_GB2312" w:cs="宋体"/>
                <w:b/>
                <w:bCs/>
                <w:color w:val="000000"/>
                <w:kern w:val="0"/>
                <w:sz w:val="22"/>
              </w:rPr>
              <w:t xml:space="preserve"> </w:t>
            </w:r>
            <w:r>
              <w:rPr>
                <w:rFonts w:hint="eastAsia" w:ascii="仿宋_GB2312" w:hAnsi="仿宋" w:eastAsia="仿宋_GB2312" w:cs="宋体"/>
                <w:b/>
                <w:bCs/>
                <w:color w:val="000000"/>
                <w:kern w:val="0"/>
                <w:sz w:val="22"/>
              </w:rPr>
              <w:t>矿物质</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r>
      <w:tr>
        <w:tblPrEx>
          <w:tblLayout w:type="fixed"/>
          <w:tblCellMar>
            <w:top w:w="0" w:type="dxa"/>
            <w:left w:w="108" w:type="dxa"/>
            <w:bottom w:w="0" w:type="dxa"/>
            <w:right w:w="108" w:type="dxa"/>
          </w:tblCellMar>
        </w:tblPrEx>
        <w:trPr>
          <w:trHeight w:val="250"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ascii="仿宋_GB2312" w:hAnsi="仿宋" w:eastAsia="仿宋_GB2312" w:cs="宋体"/>
                <w:b/>
                <w:bCs/>
                <w:color w:val="000000"/>
                <w:kern w:val="0"/>
                <w:sz w:val="22"/>
              </w:rPr>
              <w:t>1</w:t>
            </w:r>
          </w:p>
        </w:tc>
        <w:tc>
          <w:tcPr>
            <w:tcW w:w="1276"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ascii="仿宋_GB2312" w:hAnsi="仿宋" w:eastAsia="仿宋_GB2312" w:cs="宋体"/>
                <w:b/>
                <w:bCs/>
                <w:color w:val="000000"/>
                <w:kern w:val="0"/>
                <w:sz w:val="22"/>
              </w:rPr>
              <w:t>1.22</w:t>
            </w:r>
          </w:p>
        </w:tc>
        <w:tc>
          <w:tcPr>
            <w:tcW w:w="1134"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790</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6.0</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1.0</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0.5</w:t>
            </w:r>
          </w:p>
        </w:tc>
        <w:tc>
          <w:tcPr>
            <w:tcW w:w="113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12.5</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正常</w:t>
            </w:r>
          </w:p>
        </w:tc>
      </w:tr>
      <w:tr>
        <w:tblPrEx>
          <w:tblLayout w:type="fixed"/>
          <w:tblCellMar>
            <w:top w:w="0" w:type="dxa"/>
            <w:left w:w="108" w:type="dxa"/>
            <w:bottom w:w="0" w:type="dxa"/>
            <w:right w:w="108" w:type="dxa"/>
          </w:tblCellMar>
        </w:tblPrEx>
        <w:trPr>
          <w:trHeight w:val="298"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ascii="仿宋_GB2312" w:hAnsi="仿宋" w:eastAsia="仿宋_GB2312" w:cs="宋体"/>
                <w:b/>
                <w:bCs/>
                <w:color w:val="000000"/>
                <w:kern w:val="0"/>
                <w:sz w:val="22"/>
              </w:rPr>
              <w:t>2</w:t>
            </w:r>
          </w:p>
        </w:tc>
        <w:tc>
          <w:tcPr>
            <w:tcW w:w="1276"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ascii="仿宋_GB2312" w:hAnsi="仿宋" w:eastAsia="仿宋_GB2312" w:cs="宋体"/>
                <w:b/>
                <w:bCs/>
                <w:color w:val="000000"/>
                <w:kern w:val="0"/>
                <w:sz w:val="22"/>
              </w:rPr>
              <w:t>1.20</w:t>
            </w:r>
          </w:p>
        </w:tc>
        <w:tc>
          <w:tcPr>
            <w:tcW w:w="1134"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770</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r>
      <w:tr>
        <w:tblPrEx>
          <w:tblLayout w:type="fixed"/>
          <w:tblCellMar>
            <w:top w:w="0" w:type="dxa"/>
            <w:left w:w="108" w:type="dxa"/>
            <w:bottom w:w="0" w:type="dxa"/>
            <w:right w:w="108" w:type="dxa"/>
          </w:tblCellMar>
        </w:tblPrEx>
        <w:trPr>
          <w:trHeight w:val="224"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ascii="仿宋_GB2312" w:hAnsi="仿宋" w:eastAsia="仿宋_GB2312" w:cs="宋体"/>
                <w:b/>
                <w:bCs/>
                <w:color w:val="000000"/>
                <w:kern w:val="0"/>
                <w:sz w:val="22"/>
              </w:rPr>
              <w:t>3</w:t>
            </w:r>
          </w:p>
        </w:tc>
        <w:tc>
          <w:tcPr>
            <w:tcW w:w="1276"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ascii="仿宋_GB2312" w:hAnsi="仿宋" w:eastAsia="仿宋_GB2312" w:cs="宋体"/>
                <w:b/>
                <w:bCs/>
                <w:color w:val="000000"/>
                <w:kern w:val="0"/>
                <w:sz w:val="22"/>
              </w:rPr>
              <w:t>1.18</w:t>
            </w:r>
          </w:p>
        </w:tc>
        <w:tc>
          <w:tcPr>
            <w:tcW w:w="1134"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750</w:t>
            </w:r>
          </w:p>
        </w:tc>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8.0</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r>
      <w:tr>
        <w:tblPrEx>
          <w:tblLayout w:type="fixed"/>
          <w:tblCellMar>
            <w:top w:w="0" w:type="dxa"/>
            <w:left w:w="108" w:type="dxa"/>
            <w:bottom w:w="0" w:type="dxa"/>
            <w:right w:w="108" w:type="dxa"/>
          </w:tblCellMar>
        </w:tblPrEx>
        <w:trPr>
          <w:trHeight w:val="214"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ascii="仿宋_GB2312" w:hAnsi="仿宋" w:eastAsia="仿宋_GB2312" w:cs="宋体"/>
                <w:b/>
                <w:bCs/>
                <w:color w:val="000000"/>
                <w:kern w:val="0"/>
                <w:sz w:val="22"/>
              </w:rPr>
              <w:t>4</w:t>
            </w:r>
          </w:p>
        </w:tc>
        <w:tc>
          <w:tcPr>
            <w:tcW w:w="1276"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ascii="仿宋_GB2312" w:hAnsi="仿宋" w:eastAsia="仿宋_GB2312" w:cs="宋体"/>
                <w:b/>
                <w:bCs/>
                <w:color w:val="000000"/>
                <w:kern w:val="0"/>
                <w:sz w:val="22"/>
              </w:rPr>
              <w:t>1.16</w:t>
            </w:r>
          </w:p>
        </w:tc>
        <w:tc>
          <w:tcPr>
            <w:tcW w:w="1134"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730</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r>
      <w:tr>
        <w:tblPrEx>
          <w:tblLayout w:type="fixed"/>
          <w:tblCellMar>
            <w:top w:w="0" w:type="dxa"/>
            <w:left w:w="108" w:type="dxa"/>
            <w:bottom w:w="0" w:type="dxa"/>
            <w:right w:w="108" w:type="dxa"/>
          </w:tblCellMar>
        </w:tblPrEx>
        <w:trPr>
          <w:trHeight w:val="191"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ascii="仿宋_GB2312" w:hAnsi="仿宋" w:eastAsia="仿宋_GB2312" w:cs="宋体"/>
                <w:b/>
                <w:bCs/>
                <w:color w:val="000000"/>
                <w:kern w:val="0"/>
                <w:sz w:val="22"/>
              </w:rPr>
              <w:t>5</w:t>
            </w:r>
          </w:p>
        </w:tc>
        <w:tc>
          <w:tcPr>
            <w:tcW w:w="1276"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ascii="仿宋_GB2312" w:hAnsi="仿宋" w:eastAsia="仿宋_GB2312" w:cs="宋体"/>
                <w:b/>
                <w:bCs/>
                <w:color w:val="000000"/>
                <w:kern w:val="0"/>
                <w:sz w:val="22"/>
              </w:rPr>
              <w:t>1.14</w:t>
            </w:r>
          </w:p>
        </w:tc>
        <w:tc>
          <w:tcPr>
            <w:tcW w:w="1134"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710</w:t>
            </w:r>
          </w:p>
        </w:tc>
        <w:tc>
          <w:tcPr>
            <w:tcW w:w="1276"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bCs/>
                <w:color w:val="000000"/>
                <w:kern w:val="0"/>
                <w:sz w:val="22"/>
              </w:rPr>
            </w:pPr>
            <w:r>
              <w:rPr>
                <w:rFonts w:hint="eastAsia" w:ascii="仿宋_GB2312" w:hAnsi="仿宋" w:eastAsia="仿宋_GB2312" w:cs="宋体"/>
                <w:b/>
                <w:bCs/>
                <w:color w:val="000000"/>
                <w:kern w:val="0"/>
                <w:sz w:val="22"/>
              </w:rPr>
              <w:t>≤</w:t>
            </w:r>
            <w:r>
              <w:rPr>
                <w:rFonts w:ascii="仿宋_GB2312" w:hAnsi="仿宋" w:eastAsia="仿宋_GB2312" w:cs="宋体"/>
                <w:b/>
                <w:bCs/>
                <w:color w:val="000000"/>
                <w:kern w:val="0"/>
                <w:sz w:val="22"/>
              </w:rPr>
              <w:t>10.0</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2"/>
              </w:rPr>
            </w:pPr>
          </w:p>
        </w:tc>
      </w:tr>
      <w:tr>
        <w:tblPrEx>
          <w:tblLayout w:type="fixed"/>
          <w:tblCellMar>
            <w:top w:w="0" w:type="dxa"/>
            <w:left w:w="108" w:type="dxa"/>
            <w:bottom w:w="0" w:type="dxa"/>
            <w:right w:w="108" w:type="dxa"/>
          </w:tblCellMar>
        </w:tblPrEx>
        <w:trPr>
          <w:trHeight w:val="1744" w:hRule="atLeast"/>
        </w:trPr>
        <w:tc>
          <w:tcPr>
            <w:tcW w:w="129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b/>
                <w:color w:val="000000"/>
                <w:kern w:val="0"/>
                <w:sz w:val="24"/>
                <w:szCs w:val="24"/>
              </w:rPr>
            </w:pPr>
            <w:r>
              <w:rPr>
                <w:rFonts w:hint="eastAsia" w:ascii="仿宋_GB2312" w:hAnsi="仿宋" w:eastAsia="仿宋_GB2312" w:cs="宋体"/>
                <w:b/>
                <w:color w:val="000000"/>
                <w:kern w:val="0"/>
                <w:sz w:val="24"/>
                <w:szCs w:val="24"/>
              </w:rPr>
              <w:t>增扣量项目及规定</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color w:val="000000"/>
                <w:kern w:val="0"/>
                <w:sz w:val="24"/>
                <w:szCs w:val="24"/>
              </w:rPr>
            </w:pPr>
            <w:r>
              <w:rPr>
                <w:rFonts w:hint="eastAsia" w:ascii="仿宋_GB2312" w:hAnsi="仿宋" w:eastAsia="仿宋_GB2312" w:cs="宋体"/>
                <w:b/>
                <w:color w:val="000000"/>
                <w:kern w:val="0"/>
                <w:sz w:val="24"/>
                <w:szCs w:val="24"/>
              </w:rPr>
              <w:t>水分</w:t>
            </w:r>
          </w:p>
        </w:tc>
        <w:tc>
          <w:tcPr>
            <w:tcW w:w="6520"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实际水分含量低于标准规定的粮油，以标准中规定的指标为基础，每低</w:t>
            </w:r>
            <w:r>
              <w:rPr>
                <w:rFonts w:ascii="仿宋_GB2312" w:hAnsi="仿宋" w:eastAsia="仿宋_GB2312" w:cs="宋体"/>
                <w:color w:val="000000"/>
                <w:kern w:val="0"/>
                <w:sz w:val="24"/>
                <w:szCs w:val="24"/>
              </w:rPr>
              <w:t>0.5</w:t>
            </w:r>
            <w:r>
              <w:rPr>
                <w:rFonts w:hint="eastAsia" w:ascii="仿宋_GB2312" w:hAnsi="仿宋" w:eastAsia="仿宋_GB2312" w:cs="宋体"/>
                <w:color w:val="000000"/>
                <w:kern w:val="0"/>
                <w:sz w:val="24"/>
                <w:szCs w:val="24"/>
              </w:rPr>
              <w:t>个百分点增量</w:t>
            </w:r>
            <w:r>
              <w:rPr>
                <w:rFonts w:ascii="仿宋_GB2312" w:hAnsi="仿宋" w:eastAsia="仿宋_GB2312" w:cs="宋体"/>
                <w:color w:val="000000"/>
                <w:kern w:val="0"/>
                <w:sz w:val="24"/>
                <w:szCs w:val="24"/>
              </w:rPr>
              <w:t>0.75%</w:t>
            </w:r>
            <w:r>
              <w:rPr>
                <w:rFonts w:hint="eastAsia" w:ascii="仿宋_GB2312" w:hAnsi="仿宋" w:eastAsia="仿宋_GB2312" w:cs="宋体"/>
                <w:color w:val="000000"/>
                <w:kern w:val="0"/>
                <w:sz w:val="24"/>
                <w:szCs w:val="24"/>
              </w:rPr>
              <w:t>，但低于标准规定指标</w:t>
            </w:r>
            <w:r>
              <w:rPr>
                <w:rFonts w:ascii="仿宋_GB2312" w:hAnsi="仿宋" w:eastAsia="仿宋_GB2312" w:cs="宋体"/>
                <w:color w:val="000000"/>
                <w:kern w:val="0"/>
                <w:sz w:val="24"/>
                <w:szCs w:val="24"/>
              </w:rPr>
              <w:t>2.5</w:t>
            </w:r>
            <w:r>
              <w:rPr>
                <w:rFonts w:hint="eastAsia" w:ascii="仿宋_GB2312" w:hAnsi="仿宋" w:eastAsia="仿宋_GB2312" w:cs="宋体"/>
                <w:color w:val="000000"/>
                <w:kern w:val="0"/>
                <w:sz w:val="24"/>
                <w:szCs w:val="24"/>
              </w:rPr>
              <w:t>个百分点及以上时，不再增量。实际水分含量高于标准规定的粮油，以标准中规定的指标为基础，每高</w:t>
            </w:r>
            <w:r>
              <w:rPr>
                <w:rFonts w:ascii="仿宋_GB2312" w:hAnsi="仿宋" w:eastAsia="仿宋_GB2312" w:cs="宋体"/>
                <w:color w:val="000000"/>
                <w:kern w:val="0"/>
                <w:sz w:val="24"/>
                <w:szCs w:val="24"/>
              </w:rPr>
              <w:t>0.5</w:t>
            </w:r>
            <w:r>
              <w:rPr>
                <w:rFonts w:hint="eastAsia" w:ascii="仿宋_GB2312" w:hAnsi="仿宋" w:eastAsia="仿宋_GB2312" w:cs="宋体"/>
                <w:color w:val="000000"/>
                <w:kern w:val="0"/>
                <w:sz w:val="24"/>
                <w:szCs w:val="24"/>
              </w:rPr>
              <w:t>个百分点扣量</w:t>
            </w:r>
            <w:r>
              <w:rPr>
                <w:rFonts w:ascii="仿宋_GB2312" w:hAnsi="仿宋" w:eastAsia="仿宋_GB2312" w:cs="宋体"/>
                <w:color w:val="000000"/>
                <w:kern w:val="0"/>
                <w:sz w:val="24"/>
                <w:szCs w:val="24"/>
              </w:rPr>
              <w:t>1.00%</w:t>
            </w:r>
            <w:r>
              <w:rPr>
                <w:rFonts w:hint="eastAsia" w:ascii="仿宋_GB2312" w:hAnsi="仿宋" w:eastAsia="仿宋_GB2312" w:cs="宋体"/>
                <w:color w:val="000000"/>
                <w:kern w:val="0"/>
                <w:sz w:val="24"/>
                <w:szCs w:val="24"/>
              </w:rPr>
              <w:t>；低或高不足</w:t>
            </w:r>
            <w:r>
              <w:rPr>
                <w:rFonts w:ascii="仿宋_GB2312" w:hAnsi="仿宋" w:eastAsia="仿宋_GB2312" w:cs="宋体"/>
                <w:color w:val="000000"/>
                <w:kern w:val="0"/>
                <w:sz w:val="24"/>
                <w:szCs w:val="24"/>
              </w:rPr>
              <w:t>0.5</w:t>
            </w:r>
            <w:r>
              <w:rPr>
                <w:rFonts w:hint="eastAsia" w:ascii="仿宋_GB2312" w:hAnsi="仿宋" w:eastAsia="仿宋_GB2312" w:cs="宋体"/>
                <w:color w:val="000000"/>
                <w:kern w:val="0"/>
                <w:sz w:val="24"/>
                <w:szCs w:val="24"/>
              </w:rPr>
              <w:t>个百分点的，不计增扣量。</w:t>
            </w:r>
          </w:p>
        </w:tc>
      </w:tr>
      <w:tr>
        <w:tblPrEx>
          <w:tblLayout w:type="fixed"/>
          <w:tblCellMar>
            <w:top w:w="0" w:type="dxa"/>
            <w:left w:w="108" w:type="dxa"/>
            <w:bottom w:w="0" w:type="dxa"/>
            <w:right w:w="108" w:type="dxa"/>
          </w:tblCellMar>
        </w:tblPrEx>
        <w:trPr>
          <w:trHeight w:val="1708" w:hRule="atLeast"/>
        </w:trPr>
        <w:tc>
          <w:tcPr>
            <w:tcW w:w="12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 w:eastAsia="仿宋_GB2312" w:cs="宋体"/>
                <w:b/>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color w:val="000000"/>
                <w:kern w:val="0"/>
                <w:sz w:val="24"/>
                <w:szCs w:val="24"/>
              </w:rPr>
            </w:pPr>
            <w:r>
              <w:rPr>
                <w:rFonts w:hint="eastAsia" w:ascii="仿宋_GB2312" w:hAnsi="仿宋" w:eastAsia="仿宋_GB2312" w:cs="宋体"/>
                <w:b/>
                <w:color w:val="000000"/>
                <w:kern w:val="0"/>
                <w:sz w:val="24"/>
                <w:szCs w:val="24"/>
              </w:rPr>
              <w:t>杂质</w:t>
            </w:r>
          </w:p>
        </w:tc>
        <w:tc>
          <w:tcPr>
            <w:tcW w:w="6520"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实际杂质含量低于标准规定的粮油，以标准中规定的指标为基础，每低</w:t>
            </w:r>
            <w:r>
              <w:rPr>
                <w:rFonts w:ascii="仿宋_GB2312" w:hAnsi="仿宋" w:eastAsia="仿宋_GB2312" w:cs="宋体"/>
                <w:color w:val="000000"/>
                <w:kern w:val="0"/>
                <w:sz w:val="24"/>
                <w:szCs w:val="24"/>
              </w:rPr>
              <w:t>0.5</w:t>
            </w:r>
            <w:r>
              <w:rPr>
                <w:rFonts w:hint="eastAsia" w:ascii="仿宋_GB2312" w:hAnsi="仿宋" w:eastAsia="仿宋_GB2312" w:cs="宋体"/>
                <w:color w:val="000000"/>
                <w:kern w:val="0"/>
                <w:sz w:val="24"/>
                <w:szCs w:val="24"/>
              </w:rPr>
              <w:t>个百分点增量</w:t>
            </w:r>
            <w:r>
              <w:rPr>
                <w:rFonts w:ascii="仿宋_GB2312" w:hAnsi="仿宋" w:eastAsia="仿宋_GB2312" w:cs="宋体"/>
                <w:color w:val="000000"/>
                <w:kern w:val="0"/>
                <w:sz w:val="24"/>
                <w:szCs w:val="24"/>
              </w:rPr>
              <w:t>0.75%</w:t>
            </w:r>
            <w:r>
              <w:rPr>
                <w:rFonts w:hint="eastAsia" w:ascii="仿宋_GB2312" w:hAnsi="仿宋" w:eastAsia="仿宋_GB2312" w:cs="宋体"/>
                <w:color w:val="000000"/>
                <w:kern w:val="0"/>
                <w:sz w:val="24"/>
                <w:szCs w:val="24"/>
              </w:rPr>
              <w:t>。实际杂质含量高于标准规定的粮油，以标准中规定的指标为基础，每高</w:t>
            </w:r>
            <w:r>
              <w:rPr>
                <w:rFonts w:ascii="仿宋_GB2312" w:hAnsi="仿宋" w:eastAsia="仿宋_GB2312" w:cs="宋体"/>
                <w:color w:val="000000"/>
                <w:kern w:val="0"/>
                <w:sz w:val="24"/>
                <w:szCs w:val="24"/>
              </w:rPr>
              <w:t>0.5</w:t>
            </w:r>
            <w:r>
              <w:rPr>
                <w:rFonts w:hint="eastAsia" w:ascii="仿宋_GB2312" w:hAnsi="仿宋" w:eastAsia="仿宋_GB2312" w:cs="宋体"/>
                <w:color w:val="000000"/>
                <w:kern w:val="0"/>
                <w:sz w:val="24"/>
                <w:szCs w:val="24"/>
              </w:rPr>
              <w:t>个百分点扣量</w:t>
            </w:r>
            <w:r>
              <w:rPr>
                <w:rFonts w:ascii="仿宋_GB2312" w:hAnsi="仿宋" w:eastAsia="仿宋_GB2312" w:cs="宋体"/>
                <w:color w:val="000000"/>
                <w:kern w:val="0"/>
                <w:sz w:val="24"/>
                <w:szCs w:val="24"/>
              </w:rPr>
              <w:t>1.5%</w:t>
            </w:r>
            <w:r>
              <w:rPr>
                <w:rFonts w:hint="eastAsia" w:ascii="仿宋_GB2312" w:hAnsi="仿宋" w:eastAsia="仿宋_GB2312" w:cs="宋体"/>
                <w:color w:val="000000"/>
                <w:kern w:val="0"/>
                <w:sz w:val="24"/>
                <w:szCs w:val="24"/>
              </w:rPr>
              <w:t>；低或高不足</w:t>
            </w:r>
            <w:r>
              <w:rPr>
                <w:rFonts w:ascii="仿宋_GB2312" w:hAnsi="仿宋" w:eastAsia="仿宋_GB2312" w:cs="宋体"/>
                <w:color w:val="000000"/>
                <w:kern w:val="0"/>
                <w:sz w:val="24"/>
                <w:szCs w:val="24"/>
              </w:rPr>
              <w:t>0.5</w:t>
            </w:r>
            <w:r>
              <w:rPr>
                <w:rFonts w:hint="eastAsia" w:ascii="仿宋_GB2312" w:hAnsi="仿宋" w:eastAsia="仿宋_GB2312" w:cs="宋体"/>
                <w:color w:val="000000"/>
                <w:kern w:val="0"/>
                <w:sz w:val="24"/>
                <w:szCs w:val="24"/>
              </w:rPr>
              <w:t>个百分点的，不计增量。矿物质含量超标的，加扣量</w:t>
            </w:r>
            <w:r>
              <w:rPr>
                <w:rFonts w:ascii="仿宋_GB2312" w:hAnsi="仿宋" w:eastAsia="仿宋_GB2312" w:cs="宋体"/>
                <w:color w:val="000000"/>
                <w:kern w:val="0"/>
                <w:sz w:val="24"/>
                <w:szCs w:val="24"/>
              </w:rPr>
              <w:t>0.75%</w:t>
            </w:r>
            <w:r>
              <w:rPr>
                <w:rFonts w:hint="eastAsia" w:ascii="仿宋_GB2312" w:hAnsi="仿宋" w:eastAsia="仿宋_GB2312" w:cs="宋体"/>
                <w:color w:val="000000"/>
                <w:kern w:val="0"/>
                <w:sz w:val="24"/>
                <w:szCs w:val="24"/>
              </w:rPr>
              <w:t>，低于标准规定的，不增量。</w:t>
            </w:r>
          </w:p>
        </w:tc>
      </w:tr>
      <w:tr>
        <w:tblPrEx>
          <w:tblLayout w:type="fixed"/>
          <w:tblCellMar>
            <w:top w:w="0" w:type="dxa"/>
            <w:left w:w="108" w:type="dxa"/>
            <w:bottom w:w="0" w:type="dxa"/>
            <w:right w:w="108" w:type="dxa"/>
          </w:tblCellMar>
        </w:tblPrEx>
        <w:trPr>
          <w:trHeight w:val="1081" w:hRule="atLeast"/>
        </w:trPr>
        <w:tc>
          <w:tcPr>
            <w:tcW w:w="12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 w:eastAsia="仿宋_GB2312" w:cs="宋体"/>
                <w:b/>
                <w:color w:val="000000"/>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color w:val="000000"/>
                <w:kern w:val="0"/>
                <w:sz w:val="24"/>
                <w:szCs w:val="24"/>
              </w:rPr>
            </w:pPr>
            <w:r>
              <w:rPr>
                <w:rFonts w:hint="eastAsia" w:ascii="仿宋_GB2312" w:hAnsi="仿宋" w:eastAsia="仿宋_GB2312" w:cs="宋体"/>
                <w:b/>
                <w:color w:val="000000"/>
                <w:kern w:val="0"/>
                <w:sz w:val="24"/>
                <w:szCs w:val="24"/>
              </w:rPr>
              <w:t>不完善粒</w:t>
            </w:r>
          </w:p>
        </w:tc>
        <w:tc>
          <w:tcPr>
            <w:tcW w:w="6520"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不完善粒含量高于标准规定的粮油，以标准中规定的指标为基础，每高</w:t>
            </w:r>
            <w:r>
              <w:rPr>
                <w:rFonts w:ascii="仿宋_GB2312" w:hAnsi="仿宋" w:eastAsia="仿宋_GB2312" w:cs="宋体"/>
                <w:color w:val="000000"/>
                <w:kern w:val="0"/>
                <w:sz w:val="24"/>
                <w:szCs w:val="24"/>
              </w:rPr>
              <w:t>1</w:t>
            </w:r>
            <w:r>
              <w:rPr>
                <w:rFonts w:hint="eastAsia" w:ascii="仿宋_GB2312" w:hAnsi="仿宋" w:eastAsia="仿宋_GB2312" w:cs="宋体"/>
                <w:color w:val="000000"/>
                <w:kern w:val="0"/>
                <w:sz w:val="24"/>
                <w:szCs w:val="24"/>
              </w:rPr>
              <w:t>个百分点，扣量</w:t>
            </w:r>
            <w:r>
              <w:rPr>
                <w:rFonts w:ascii="仿宋_GB2312" w:hAnsi="仿宋" w:eastAsia="仿宋_GB2312" w:cs="宋体"/>
                <w:color w:val="000000"/>
                <w:kern w:val="0"/>
                <w:sz w:val="24"/>
                <w:szCs w:val="24"/>
              </w:rPr>
              <w:t>0.5%</w:t>
            </w:r>
            <w:r>
              <w:rPr>
                <w:rFonts w:hint="eastAsia" w:ascii="仿宋_GB2312" w:hAnsi="仿宋" w:eastAsia="仿宋_GB2312" w:cs="宋体"/>
                <w:color w:val="000000"/>
                <w:kern w:val="0"/>
                <w:sz w:val="24"/>
                <w:szCs w:val="24"/>
              </w:rPr>
              <w:t>；高不足</w:t>
            </w:r>
            <w:r>
              <w:rPr>
                <w:rFonts w:ascii="仿宋_GB2312" w:hAnsi="仿宋" w:eastAsia="仿宋_GB2312" w:cs="宋体"/>
                <w:color w:val="000000"/>
                <w:kern w:val="0"/>
                <w:sz w:val="24"/>
                <w:szCs w:val="24"/>
              </w:rPr>
              <w:t>1</w:t>
            </w:r>
            <w:r>
              <w:rPr>
                <w:rFonts w:hint="eastAsia" w:ascii="仿宋_GB2312" w:hAnsi="仿宋" w:eastAsia="仿宋_GB2312" w:cs="宋体"/>
                <w:color w:val="000000"/>
                <w:kern w:val="0"/>
                <w:sz w:val="24"/>
                <w:szCs w:val="24"/>
              </w:rPr>
              <w:t>个百分点的，不扣量；低于标准规定的，不增量。</w:t>
            </w:r>
          </w:p>
        </w:tc>
      </w:tr>
      <w:tr>
        <w:tblPrEx>
          <w:tblLayout w:type="fixed"/>
          <w:tblCellMar>
            <w:top w:w="0" w:type="dxa"/>
            <w:left w:w="108" w:type="dxa"/>
            <w:bottom w:w="0" w:type="dxa"/>
            <w:right w:w="108" w:type="dxa"/>
          </w:tblCellMar>
        </w:tblPrEx>
        <w:trPr>
          <w:trHeight w:val="769"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000000"/>
                <w:kern w:val="0"/>
                <w:sz w:val="24"/>
                <w:szCs w:val="24"/>
              </w:rPr>
            </w:pPr>
            <w:r>
              <w:rPr>
                <w:rFonts w:hint="eastAsia" w:ascii="仿宋_GB2312" w:hAnsi="仿宋" w:eastAsia="仿宋_GB2312" w:cs="宋体"/>
                <w:b/>
                <w:color w:val="000000"/>
                <w:kern w:val="0"/>
                <w:sz w:val="24"/>
                <w:szCs w:val="24"/>
              </w:rPr>
              <w:t>备</w:t>
            </w:r>
            <w:r>
              <w:rPr>
                <w:rFonts w:ascii="仿宋_GB2312" w:hAnsi="仿宋" w:eastAsia="仿宋_GB2312" w:cs="宋体"/>
                <w:b/>
                <w:color w:val="000000"/>
                <w:kern w:val="0"/>
                <w:sz w:val="24"/>
                <w:szCs w:val="24"/>
              </w:rPr>
              <w:t xml:space="preserve"> </w:t>
            </w:r>
            <w:r>
              <w:rPr>
                <w:rFonts w:hint="eastAsia" w:ascii="仿宋_GB2312" w:hAnsi="仿宋" w:eastAsia="仿宋_GB2312" w:cs="宋体"/>
                <w:b/>
                <w:color w:val="000000"/>
                <w:kern w:val="0"/>
                <w:sz w:val="24"/>
                <w:szCs w:val="24"/>
              </w:rPr>
              <w:t>注</w:t>
            </w:r>
          </w:p>
        </w:tc>
        <w:tc>
          <w:tcPr>
            <w:tcW w:w="7796" w:type="dxa"/>
            <w:gridSpan w:val="7"/>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最低收购价是指承担最低收购价收购任务的收储库点向农民直接收购的到库价；增扣量项目及规定依据国粮发〔</w:t>
            </w:r>
            <w:r>
              <w:rPr>
                <w:rFonts w:ascii="仿宋_GB2312" w:hAnsi="仿宋" w:eastAsia="仿宋_GB2312" w:cs="宋体"/>
                <w:color w:val="000000"/>
                <w:kern w:val="0"/>
                <w:sz w:val="24"/>
                <w:szCs w:val="24"/>
              </w:rPr>
              <w:t>2010</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178</w:t>
            </w:r>
            <w:r>
              <w:rPr>
                <w:rFonts w:hint="eastAsia" w:ascii="仿宋_GB2312" w:hAnsi="仿宋" w:eastAsia="仿宋_GB2312" w:cs="宋体"/>
                <w:color w:val="000000"/>
                <w:kern w:val="0"/>
                <w:sz w:val="24"/>
                <w:szCs w:val="24"/>
              </w:rPr>
              <w:t>号文件执行。</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仿宋_GB2312" w:hAnsi="仿宋" w:eastAsia="仿宋_GB2312"/>
          <w:sz w:val="32"/>
          <w:szCs w:val="32"/>
        </w:rPr>
      </w:pPr>
      <w:r>
        <w:rPr>
          <w:rFonts w:hint="eastAsia" w:ascii="仿宋_GB2312" w:hAnsi="仿宋" w:eastAsia="仿宋_GB2312"/>
          <w:sz w:val="32"/>
          <w:szCs w:val="32"/>
        </w:rPr>
        <w:t>监督电话：中央储备粮</w:t>
      </w:r>
      <w:r>
        <w:rPr>
          <w:rFonts w:ascii="仿宋_GB2312" w:hAnsi="仿宋" w:eastAsia="仿宋_GB2312"/>
          <w:sz w:val="32"/>
          <w:szCs w:val="32"/>
        </w:rPr>
        <w:t>XX</w:t>
      </w:r>
      <w:r>
        <w:rPr>
          <w:rFonts w:hint="eastAsia" w:ascii="仿宋_GB2312" w:hAnsi="仿宋" w:eastAsia="仿宋_GB2312"/>
          <w:sz w:val="32"/>
          <w:szCs w:val="32"/>
        </w:rPr>
        <w:t>直属库</w:t>
      </w:r>
      <w:r>
        <w:rPr>
          <w:rFonts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1680" w:firstLineChars="500"/>
        <w:jc w:val="both"/>
        <w:textAlignment w:val="auto"/>
        <w:outlineLvl w:val="9"/>
        <w:rPr>
          <w:rFonts w:ascii="仿宋_GB2312" w:hAnsi="仿宋" w:eastAsia="仿宋_GB2312"/>
          <w:sz w:val="32"/>
          <w:szCs w:val="32"/>
        </w:rPr>
      </w:pPr>
      <w:r>
        <w:rPr>
          <w:rFonts w:hint="eastAsia" w:ascii="仿宋_GB2312" w:hAnsi="仿宋" w:eastAsia="仿宋_GB2312"/>
          <w:sz w:val="32"/>
          <w:szCs w:val="32"/>
        </w:rPr>
        <w:t>中储粮山东分公司</w:t>
      </w:r>
      <w:r>
        <w:rPr>
          <w:rFonts w:ascii="仿宋_GB2312" w:hAnsi="仿宋" w:eastAsia="仿宋_GB2312"/>
          <w:sz w:val="32"/>
          <w:szCs w:val="32"/>
        </w:rPr>
        <w:t xml:space="preserve">       0531-55686128</w:t>
      </w:r>
      <w:r>
        <w:rPr>
          <w:rFonts w:ascii="仿宋" w:hAnsi="仿宋" w:eastAsia="仿宋"/>
          <w:sz w:val="32"/>
          <w:szCs w:val="32"/>
        </w:rPr>
        <w:t xml:space="preserve">                     </w:t>
      </w:r>
      <w:r>
        <w:rPr>
          <w:rFonts w:ascii="仿宋_GB2312" w:hAnsi="仿宋" w:eastAsia="仿宋_GB2312"/>
          <w:sz w:val="32"/>
          <w:szCs w:val="32"/>
        </w:rPr>
        <w:t xml:space="preserve">  </w:t>
      </w:r>
      <w:r>
        <w:rPr>
          <w:rFonts w:ascii="仿宋" w:hAnsi="仿宋" w:eastAsia="仿宋"/>
          <w:b/>
          <w:sz w:val="32"/>
          <w:szCs w:val="32"/>
        </w:rPr>
        <w:t xml:space="preserve">                   </w:t>
      </w:r>
      <w:r>
        <w:rPr>
          <w:rFonts w:ascii="宋体" w:hAnsi="宋体"/>
          <w:b/>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F56"/>
    <w:rsid w:val="00000AD3"/>
    <w:rsid w:val="00027020"/>
    <w:rsid w:val="00087444"/>
    <w:rsid w:val="000D52A4"/>
    <w:rsid w:val="00113ED8"/>
    <w:rsid w:val="0012720B"/>
    <w:rsid w:val="001952F4"/>
    <w:rsid w:val="00196628"/>
    <w:rsid w:val="001B4FCF"/>
    <w:rsid w:val="001C4D6A"/>
    <w:rsid w:val="001E558B"/>
    <w:rsid w:val="00241F56"/>
    <w:rsid w:val="002510DD"/>
    <w:rsid w:val="002875B7"/>
    <w:rsid w:val="0031280F"/>
    <w:rsid w:val="00350954"/>
    <w:rsid w:val="00387324"/>
    <w:rsid w:val="003B2B56"/>
    <w:rsid w:val="003E31D4"/>
    <w:rsid w:val="00412D95"/>
    <w:rsid w:val="004421E4"/>
    <w:rsid w:val="004D0A96"/>
    <w:rsid w:val="004E31B2"/>
    <w:rsid w:val="00503879"/>
    <w:rsid w:val="00505878"/>
    <w:rsid w:val="00535F95"/>
    <w:rsid w:val="00570475"/>
    <w:rsid w:val="006176A9"/>
    <w:rsid w:val="006B0DC3"/>
    <w:rsid w:val="006B303A"/>
    <w:rsid w:val="006D21F3"/>
    <w:rsid w:val="006D306F"/>
    <w:rsid w:val="006E6844"/>
    <w:rsid w:val="006F100D"/>
    <w:rsid w:val="006F46DD"/>
    <w:rsid w:val="00707CBE"/>
    <w:rsid w:val="00727CD1"/>
    <w:rsid w:val="007C02AA"/>
    <w:rsid w:val="007E626E"/>
    <w:rsid w:val="007E7BB1"/>
    <w:rsid w:val="008414F2"/>
    <w:rsid w:val="008C2B78"/>
    <w:rsid w:val="008C32DE"/>
    <w:rsid w:val="008D064D"/>
    <w:rsid w:val="00900DA3"/>
    <w:rsid w:val="00910BC1"/>
    <w:rsid w:val="00922EB9"/>
    <w:rsid w:val="00982DAF"/>
    <w:rsid w:val="00985FF5"/>
    <w:rsid w:val="009C07DF"/>
    <w:rsid w:val="009D7EA6"/>
    <w:rsid w:val="00A876D3"/>
    <w:rsid w:val="00A95D80"/>
    <w:rsid w:val="00AC3043"/>
    <w:rsid w:val="00AC30DB"/>
    <w:rsid w:val="00AF3DBE"/>
    <w:rsid w:val="00B350E9"/>
    <w:rsid w:val="00B44FA6"/>
    <w:rsid w:val="00B450EA"/>
    <w:rsid w:val="00B50ED5"/>
    <w:rsid w:val="00B51067"/>
    <w:rsid w:val="00B80A9B"/>
    <w:rsid w:val="00BE5764"/>
    <w:rsid w:val="00C124BC"/>
    <w:rsid w:val="00C37EB2"/>
    <w:rsid w:val="00C4722D"/>
    <w:rsid w:val="00C50D2A"/>
    <w:rsid w:val="00C941E3"/>
    <w:rsid w:val="00CD3359"/>
    <w:rsid w:val="00D05105"/>
    <w:rsid w:val="00D919DD"/>
    <w:rsid w:val="00DA342C"/>
    <w:rsid w:val="00EA0C22"/>
    <w:rsid w:val="00F3510F"/>
    <w:rsid w:val="00F44687"/>
    <w:rsid w:val="00FA4A47"/>
    <w:rsid w:val="00FD0440"/>
    <w:rsid w:val="00FE59A6"/>
    <w:rsid w:val="62FA6951"/>
    <w:rsid w:val="76F01F1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8">
    <w:name w:val="Header Char"/>
    <w:basedOn w:val="5"/>
    <w:link w:val="4"/>
    <w:semiHidden/>
    <w:qFormat/>
    <w:locked/>
    <w:uiPriority w:val="99"/>
    <w:rPr>
      <w:rFonts w:cs="Times New Roman"/>
      <w:sz w:val="18"/>
      <w:szCs w:val="18"/>
    </w:rPr>
  </w:style>
  <w:style w:type="character" w:customStyle="1" w:styleId="9">
    <w:name w:val="Footer Char"/>
    <w:basedOn w:val="5"/>
    <w:link w:val="3"/>
    <w:semiHidden/>
    <w:qFormat/>
    <w:locked/>
    <w:uiPriority w:val="99"/>
    <w:rPr>
      <w:rFonts w:cs="Times New Roman"/>
      <w:sz w:val="18"/>
      <w:szCs w:val="18"/>
    </w:rPr>
  </w:style>
  <w:style w:type="paragraph" w:customStyle="1" w:styleId="10">
    <w:name w:val="List Paragraph"/>
    <w:basedOn w:val="1"/>
    <w:qFormat/>
    <w:uiPriority w:val="99"/>
    <w:pPr>
      <w:ind w:firstLine="420" w:firstLineChars="200"/>
    </w:pPr>
  </w:style>
  <w:style w:type="character" w:customStyle="1" w:styleId="11">
    <w:name w:val="Balloon Text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135</Words>
  <Characters>772</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2014-05-27T04:32:00Z</dcterms:created>
  <dc:creator>admin</dc:creator>
  <cp:lastModifiedBy>user</cp:lastModifiedBy>
  <cp:lastPrinted>2016-05-11T10:02:07Z</cp:lastPrinted>
  <dcterms:modified xsi:type="dcterms:W3CDTF">2016-05-11T10:05:04Z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