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D1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C0BD8AF">
      <w:pPr>
        <w:pStyle w:val="2"/>
        <w:rPr>
          <w:rFonts w:hint="eastAsia"/>
          <w:lang w:eastAsia="zh-CN"/>
        </w:rPr>
      </w:pPr>
      <w:bookmarkStart w:id="10" w:name="_GoBack"/>
      <w:bookmarkEnd w:id="10"/>
    </w:p>
    <w:p w14:paraId="0D2C27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山东省粮食和物资储备局</w:t>
      </w:r>
    </w:p>
    <w:p w14:paraId="2377A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2025年政府信息公开工作年度报告</w:t>
      </w:r>
    </w:p>
    <w:p w14:paraId="37868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14:paraId="296EF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根据《中华人民共和国政府信息公开条例》和《中华人民共和国政府信息公开工作年度报告格式》</w:t>
      </w:r>
      <w:r>
        <w:rPr>
          <w:rFonts w:hint="eastAsia" w:ascii="仿宋_GB2312" w:hAnsi="仿宋_GB2312" w:eastAsia="仿宋_GB2312" w:cs="仿宋_GB2312"/>
          <w:sz w:val="32"/>
          <w:szCs w:val="32"/>
          <w:lang w:eastAsia="zh-CN"/>
        </w:rPr>
        <w:t>相关要求</w:t>
      </w:r>
      <w:r>
        <w:rPr>
          <w:rFonts w:hint="eastAsia" w:ascii="仿宋_GB2312" w:hAnsi="仿宋_GB2312" w:eastAsia="仿宋_GB2312" w:cs="仿宋_GB2312"/>
          <w:sz w:val="32"/>
          <w:szCs w:val="32"/>
        </w:rPr>
        <w:t>，现公布山东省粮食和物资储备局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年政府信息公开工作年度报告。其中，所列数据的统计期限为202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年12月31日。如对本报告有疑问，请联系山东省粮食和物资储备局办公室，电话：0531—51761232。</w:t>
      </w:r>
    </w:p>
    <w:p w14:paraId="3EAB9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一、总体情况</w:t>
      </w:r>
    </w:p>
    <w:p w14:paraId="03594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山东省粮食和物资储备局坚持以习近平新时代中国特色社会主义思想为指导，深入学习贯彻党的二十大和二十届历次全会精神，认真贯彻落实党中央、国务院关于做好新时代政务公开工作决策部署和省委省政府工作要求,牢牢把握政务公开“促落实、优服务、强监督”职责定位，以高质量公开服务全省粮食和物资储备事业高质量发展。</w:t>
      </w:r>
    </w:p>
    <w:p w14:paraId="4ECF7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（一）主动公开方面。</w:t>
      </w:r>
      <w:r>
        <w:rPr>
          <w:rFonts w:hint="eastAsia" w:ascii="仿宋_GB2312" w:hAnsi="仿宋_GB2312" w:eastAsia="仿宋_GB2312" w:cs="仿宋_GB2312"/>
          <w:sz w:val="32"/>
          <w:szCs w:val="32"/>
          <w:lang w:val="en-US" w:eastAsia="zh-CN"/>
        </w:rPr>
        <w:t>聚焦粮食和物资储备中心工作及社会关切，不断拓展公开内容，加大粮安考核、收储调控、产业增效、监管执法、节粮减损等信息发布力度，加强粮食市场形势分析和收购政策宣传，优化为农为企服务。创新政策解读方式，在落实常规解读基础上，积极运用专家解读、媒体访谈、负责人解读等多种形式，着力提升政策传播效果。围绕政策落实情况效益满意度开展政策实施效果评价。全年公开规范性文件2件、政策性文件1件、政策评价2件，开展各类解读8次。其中，《山东省粮食收购贷款信用保证基金管理办法》经广泛解读宣传，顺利完成二期募集，14家企业认缴金额达4333万元。公开局长办公会议7次，邀请粮库、企业和专家代表列席4次，均配套开展图文解读。举办政府开放日活动2次，重要政策面向社会公开征求意见5次，并及时公开起草说明和结果反馈。</w:t>
      </w:r>
    </w:p>
    <w:p w14:paraId="0E587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iCs w:val="0"/>
          <w:caps w:val="0"/>
          <w:color w:val="333333"/>
          <w:spacing w:val="0"/>
          <w:sz w:val="32"/>
          <w:szCs w:val="32"/>
          <w:lang w:eastAsia="zh-CN"/>
        </w:rPr>
        <w:t>（二）依申请公开工作方面。</w:t>
      </w:r>
      <w:r>
        <w:rPr>
          <w:rFonts w:hint="eastAsia" w:ascii="仿宋_GB2312" w:hAnsi="仿宋_GB2312" w:eastAsia="仿宋_GB2312" w:cs="仿宋_GB2312"/>
          <w:sz w:val="32"/>
          <w:szCs w:val="32"/>
          <w:lang w:val="en-US" w:eastAsia="zh-CN"/>
        </w:rPr>
        <w:t>严格执行信息公开申请办理答复规定，畅通线上、信函、当面提交等多重申请渠道。规范完善申请接收、登记、审核、办理、答复、归档全流程管理，强化办公室与业务处室协同，注重与申请人事前沟通，着力提升答复合法性、规范性、精准性。全年收到信息公开申请3 件，全部在规定时间内依法依规办结。</w:t>
      </w:r>
    </w:p>
    <w:p w14:paraId="45E12E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iCs w:val="0"/>
          <w:caps w:val="0"/>
          <w:color w:val="333333"/>
          <w:spacing w:val="0"/>
          <w:sz w:val="32"/>
          <w:szCs w:val="32"/>
          <w:lang w:val="en-US" w:eastAsia="zh-CN"/>
        </w:rPr>
        <w:t>(三）政府信息管理方面。</w:t>
      </w:r>
      <w:r>
        <w:rPr>
          <w:rFonts w:hint="eastAsia" w:ascii="仿宋_GB2312" w:hAnsi="仿宋_GB2312" w:eastAsia="仿宋_GB2312" w:cs="仿宋_GB2312"/>
          <w:sz w:val="32"/>
          <w:szCs w:val="32"/>
          <w:lang w:val="en-US" w:eastAsia="zh-CN"/>
        </w:rPr>
        <w:t>动态编制主动公开事项目录、本领域主动公开事项目录指引。规范信息发布流程，严格落实信息公开保密审查程序，完善公文公开属性认定流程，防止泄露国家秘密、工作秘密和敏感信息。加强规范性文件公开管理，定期开展清理并公布结果。动态更新政府信息公开指南，按时发布政府信息公开年报。</w:t>
      </w:r>
    </w:p>
    <w:p w14:paraId="2CAABBA2">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（四）平台建设方面。</w:t>
      </w:r>
      <w:r>
        <w:rPr>
          <w:rFonts w:hint="eastAsia" w:ascii="仿宋_GB2312" w:hAnsi="仿宋_GB2312" w:eastAsia="仿宋_GB2312" w:cs="仿宋_GB2312"/>
          <w:kern w:val="2"/>
          <w:sz w:val="32"/>
          <w:szCs w:val="32"/>
          <w:lang w:val="en-US" w:eastAsia="zh-CN" w:bidi="ar-SA"/>
        </w:rPr>
        <w:t>严格落实网络意识形态责任制，加强网站和政务新媒体日常监管与季度检查，确保安全平稳运行。深化政务新媒体“瘦身提质”，做强“山东省粮食和物资储备局”微信公众号主账号，培育大众政务号精品账号。2025年，局网站公开信息2000余条、微信公众号500余条，按要求转载党中央、国务院及省委省政府重大决策部署，答复公众咨询24条、局长信箱来信6条。完成政策文件库历史沿革梳理，录入符合条件文件33件，并做好关联衔接。推进应用场景建设，开设“粮食收购”政策集成专题专栏，让粮食生产、收购群体一站式了解国家、地方政策。</w:t>
      </w:r>
    </w:p>
    <w:p w14:paraId="2B8851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iCs w:val="0"/>
          <w:caps w:val="0"/>
          <w:color w:val="333333"/>
          <w:spacing w:val="0"/>
          <w:sz w:val="32"/>
          <w:szCs w:val="32"/>
          <w:lang w:eastAsia="zh-CN"/>
        </w:rPr>
        <w:t>（五）监督保障方面。</w:t>
      </w:r>
      <w:r>
        <w:rPr>
          <w:rFonts w:hint="eastAsia" w:ascii="仿宋_GB2312" w:hAnsi="仿宋_GB2312" w:eastAsia="仿宋_GB2312" w:cs="仿宋_GB2312"/>
          <w:sz w:val="32"/>
          <w:szCs w:val="32"/>
          <w:lang w:val="en-US" w:eastAsia="zh-CN"/>
        </w:rPr>
        <w:t>局党组高度重视政务公开工作，将其纳入年度工作要点，局长办公会专题听取工作汇报。制定印发《2025年政务公开工作实施方案》，明确4个方面13项重点举措，统筹安排全年发文计划和利益相关方列席局长办公会事宜，确保工作有序推进。编印《山东省粮食和物资储备局政务规范一本通》，修订完善政府信息主动公开、依申请公开等工作规范。召开政务公开推进会议，加强业务培训，解读全省政务公开效能监测指标，推动各项任务高标准落实。</w:t>
      </w:r>
    </w:p>
    <w:p w14:paraId="55407E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cols w:space="720" w:num="1"/>
          <w:rtlGutter w:val="0"/>
          <w:docGrid w:type="lines" w:linePitch="312" w:charSpace="0"/>
        </w:sectPr>
      </w:pPr>
    </w:p>
    <w:p w14:paraId="7A5D71A6">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主动公开政府信息情况</w:t>
      </w:r>
    </w:p>
    <w:tbl>
      <w:tblPr>
        <w:tblStyle w:val="7"/>
        <w:tblW w:w="5000" w:type="pct"/>
        <w:tblInd w:w="0" w:type="dxa"/>
        <w:tblLayout w:type="autofit"/>
        <w:tblCellMar>
          <w:top w:w="0" w:type="dxa"/>
          <w:left w:w="108" w:type="dxa"/>
          <w:bottom w:w="0" w:type="dxa"/>
          <w:right w:w="108" w:type="dxa"/>
        </w:tblCellMar>
      </w:tblPr>
      <w:tblGrid>
        <w:gridCol w:w="2265"/>
        <w:gridCol w:w="2265"/>
        <w:gridCol w:w="2265"/>
        <w:gridCol w:w="2265"/>
      </w:tblGrid>
      <w:tr w14:paraId="1FB370C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C0D752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DD9587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4F086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39C1CD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4747E1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5FA0C2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A4D2A58">
        <w:tblPrEx>
          <w:tblCellMar>
            <w:top w:w="0" w:type="dxa"/>
            <w:left w:w="108" w:type="dxa"/>
            <w:bottom w:w="0" w:type="dxa"/>
            <w:right w:w="108" w:type="dxa"/>
          </w:tblCellMar>
        </w:tblPrEx>
        <w:trPr>
          <w:trHeight w:val="438"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970606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42811A2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4B00B24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26747C80">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98A0FD9">
        <w:tblPrEx>
          <w:tblCellMar>
            <w:top w:w="0" w:type="dxa"/>
            <w:left w:w="108" w:type="dxa"/>
            <w:bottom w:w="0" w:type="dxa"/>
            <w:right w:w="108" w:type="dxa"/>
          </w:tblCellMar>
        </w:tblPrEx>
        <w:trPr>
          <w:trHeight w:val="44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6EC54C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0C6F0C3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w:t>
            </w:r>
          </w:p>
        </w:tc>
        <w:tc>
          <w:tcPr>
            <w:tcW w:w="1250" w:type="pct"/>
            <w:tcBorders>
              <w:top w:val="nil"/>
              <w:left w:val="nil"/>
              <w:bottom w:val="single" w:color="auto" w:sz="8" w:space="0"/>
              <w:right w:val="single" w:color="auto" w:sz="8" w:space="0"/>
            </w:tcBorders>
            <w:shd w:val="clear" w:color="auto" w:fill="auto"/>
            <w:vAlign w:val="center"/>
          </w:tcPr>
          <w:p w14:paraId="70C8B05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250" w:type="pct"/>
            <w:tcBorders>
              <w:top w:val="nil"/>
              <w:left w:val="nil"/>
              <w:bottom w:val="single" w:color="auto" w:sz="8" w:space="0"/>
              <w:right w:val="single" w:color="auto" w:sz="8" w:space="0"/>
            </w:tcBorders>
            <w:shd w:val="clear" w:color="auto" w:fill="auto"/>
            <w:vAlign w:val="center"/>
          </w:tcPr>
          <w:p w14:paraId="0B87184F">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7</w:t>
            </w:r>
          </w:p>
        </w:tc>
      </w:tr>
      <w:tr w14:paraId="2EB3286C">
        <w:tblPrEx>
          <w:tblCellMar>
            <w:top w:w="0" w:type="dxa"/>
            <w:left w:w="108" w:type="dxa"/>
            <w:bottom w:w="0" w:type="dxa"/>
            <w:right w:w="108" w:type="dxa"/>
          </w:tblCellMar>
        </w:tblPrEx>
        <w:trPr>
          <w:trHeight w:val="434"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893E7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2561D41">
        <w:tblPrEx>
          <w:tblCellMar>
            <w:top w:w="0" w:type="dxa"/>
            <w:left w:w="108" w:type="dxa"/>
            <w:bottom w:w="0" w:type="dxa"/>
            <w:right w:w="108" w:type="dxa"/>
          </w:tblCellMar>
        </w:tblPrEx>
        <w:trPr>
          <w:trHeight w:val="411"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6E825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04957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46938A3">
        <w:tblPrEx>
          <w:tblCellMar>
            <w:top w:w="0" w:type="dxa"/>
            <w:left w:w="108" w:type="dxa"/>
            <w:bottom w:w="0" w:type="dxa"/>
            <w:right w:w="108" w:type="dxa"/>
          </w:tblCellMar>
        </w:tblPrEx>
        <w:trPr>
          <w:trHeight w:val="493"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E1E7F4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BC333C9">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DCE9C4C">
        <w:tblPrEx>
          <w:tblCellMar>
            <w:top w:w="0" w:type="dxa"/>
            <w:left w:w="108" w:type="dxa"/>
            <w:bottom w:w="0" w:type="dxa"/>
            <w:right w:w="108" w:type="dxa"/>
          </w:tblCellMar>
        </w:tblPrEx>
        <w:trPr>
          <w:trHeight w:val="455"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F29CD1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74D556A">
        <w:tblPrEx>
          <w:tblCellMar>
            <w:top w:w="0" w:type="dxa"/>
            <w:left w:w="108" w:type="dxa"/>
            <w:bottom w:w="0" w:type="dxa"/>
            <w:right w:w="108" w:type="dxa"/>
          </w:tblCellMar>
        </w:tblPrEx>
        <w:trPr>
          <w:trHeight w:val="531"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A7F63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9456E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287C4F7">
        <w:tblPrEx>
          <w:tblCellMar>
            <w:top w:w="0" w:type="dxa"/>
            <w:left w:w="108" w:type="dxa"/>
            <w:bottom w:w="0" w:type="dxa"/>
            <w:right w:w="108" w:type="dxa"/>
          </w:tblCellMar>
        </w:tblPrEx>
        <w:trPr>
          <w:trHeight w:val="428" w:hRule="atLeast"/>
        </w:trPr>
        <w:tc>
          <w:tcPr>
            <w:tcW w:w="1250" w:type="pct"/>
            <w:tcBorders>
              <w:top w:val="nil"/>
              <w:left w:val="single" w:color="auto" w:sz="8" w:space="0"/>
              <w:bottom w:val="single" w:color="auto" w:sz="4" w:space="0"/>
              <w:right w:val="single" w:color="auto" w:sz="8" w:space="0"/>
            </w:tcBorders>
            <w:shd w:val="clear" w:color="auto" w:fill="auto"/>
            <w:vAlign w:val="center"/>
          </w:tcPr>
          <w:p w14:paraId="30A8628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4" w:space="0"/>
              <w:right w:val="single" w:color="000000" w:sz="8" w:space="0"/>
            </w:tcBorders>
            <w:shd w:val="clear" w:color="auto" w:fill="auto"/>
            <w:vAlign w:val="center"/>
          </w:tcPr>
          <w:p w14:paraId="1CFC2CD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EA02C2A">
        <w:tblPrEx>
          <w:tblCellMar>
            <w:top w:w="0" w:type="dxa"/>
            <w:left w:w="108" w:type="dxa"/>
            <w:bottom w:w="0" w:type="dxa"/>
            <w:right w:w="108" w:type="dxa"/>
          </w:tblCellMar>
        </w:tblPrEx>
        <w:trPr>
          <w:trHeight w:val="475"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7012FCF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4D3E1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CEB5AE2">
        <w:tblPrEx>
          <w:tblCellMar>
            <w:top w:w="0" w:type="dxa"/>
            <w:left w:w="108" w:type="dxa"/>
            <w:bottom w:w="0" w:type="dxa"/>
            <w:right w:w="108" w:type="dxa"/>
          </w:tblCellMar>
        </w:tblPrEx>
        <w:trPr>
          <w:trHeight w:val="417" w:hRule="atLeast"/>
        </w:trPr>
        <w:tc>
          <w:tcPr>
            <w:tcW w:w="5000" w:type="pct"/>
            <w:gridSpan w:val="4"/>
            <w:tcBorders>
              <w:top w:val="single" w:color="auto" w:sz="4" w:space="0"/>
              <w:left w:val="single" w:color="auto" w:sz="8" w:space="0"/>
              <w:bottom w:val="single" w:color="auto" w:sz="8" w:space="0"/>
              <w:right w:val="single" w:color="000000" w:sz="8" w:space="0"/>
            </w:tcBorders>
            <w:shd w:val="clear" w:color="000000" w:fill="C6D9F1"/>
            <w:vAlign w:val="center"/>
          </w:tcPr>
          <w:p w14:paraId="4C72F0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D73B73F">
        <w:tblPrEx>
          <w:tblCellMar>
            <w:top w:w="0" w:type="dxa"/>
            <w:left w:w="108" w:type="dxa"/>
            <w:bottom w:w="0" w:type="dxa"/>
            <w:right w:w="108" w:type="dxa"/>
          </w:tblCellMar>
        </w:tblPrEx>
        <w:trPr>
          <w:trHeight w:val="466"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7FAE3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792EC0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2A89807">
        <w:tblPrEx>
          <w:tblCellMar>
            <w:top w:w="0" w:type="dxa"/>
            <w:left w:w="108" w:type="dxa"/>
            <w:bottom w:w="0" w:type="dxa"/>
            <w:right w:w="108" w:type="dxa"/>
          </w:tblCellMar>
        </w:tblPrEx>
        <w:trPr>
          <w:trHeight w:val="459"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85974C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B04BF08">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7BE40660">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行政机关收到和处理政府信息公开申请情况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E4F8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7074A954">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4E7F1BF">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8C577D8">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2B332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96A5DB0">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4E6B518F">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8661545">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C856102">
            <w:pPr>
              <w:widowControl/>
              <w:jc w:val="center"/>
              <w:rPr>
                <w:rFonts w:ascii="黑体" w:hAnsi="黑体" w:eastAsia="黑体"/>
                <w:szCs w:val="21"/>
              </w:rPr>
            </w:pPr>
            <w:r>
              <w:rPr>
                <w:rFonts w:hint="eastAsia" w:ascii="黑体" w:hAnsi="黑体" w:eastAsia="黑体"/>
                <w:kern w:val="0"/>
                <w:szCs w:val="21"/>
              </w:rPr>
              <w:t>总计</w:t>
            </w:r>
          </w:p>
        </w:tc>
      </w:tr>
      <w:tr w14:paraId="21E4F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75B4D91A">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6B35E166">
            <w:pPr>
              <w:jc w:val="center"/>
              <w:rPr>
                <w:rFonts w:ascii="黑体" w:hAnsi="黑体" w:eastAsia="黑体"/>
                <w:szCs w:val="21"/>
              </w:rPr>
            </w:pPr>
          </w:p>
        </w:tc>
        <w:tc>
          <w:tcPr>
            <w:tcW w:w="567" w:type="dxa"/>
            <w:shd w:val="clear" w:color="auto" w:fill="auto"/>
            <w:tcMar>
              <w:left w:w="108" w:type="dxa"/>
              <w:right w:w="108" w:type="dxa"/>
            </w:tcMar>
            <w:vAlign w:val="center"/>
          </w:tcPr>
          <w:p w14:paraId="0A804929">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32C7193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095210DF">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64464919">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292823F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643DCCBD">
            <w:pPr>
              <w:jc w:val="center"/>
              <w:rPr>
                <w:rFonts w:ascii="仿宋_GB2312" w:hAnsi="Times New Roman" w:eastAsia="仿宋_GB2312"/>
                <w:szCs w:val="21"/>
              </w:rPr>
            </w:pPr>
          </w:p>
        </w:tc>
      </w:tr>
      <w:tr w14:paraId="1A888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FC7021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665A62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34AB8A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5FBD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0F30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DE672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FA5A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8E0C5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1B4B3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21538E65">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3FE3D2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1A33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FDDD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3414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18595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FDAC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228A2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511F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4C46408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139015D">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19CF9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14:paraId="44376F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E6067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9CA0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DBA57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CAE0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170D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14:paraId="11D49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1637809">
            <w:pPr>
              <w:rPr>
                <w:rFonts w:ascii="黑体" w:hAnsi="黑体" w:eastAsia="黑体"/>
                <w:szCs w:val="21"/>
              </w:rPr>
            </w:pPr>
          </w:p>
        </w:tc>
        <w:tc>
          <w:tcPr>
            <w:tcW w:w="4677" w:type="dxa"/>
            <w:gridSpan w:val="2"/>
            <w:shd w:val="clear" w:color="auto" w:fill="auto"/>
            <w:tcMar>
              <w:left w:w="108" w:type="dxa"/>
              <w:right w:w="108" w:type="dxa"/>
            </w:tcMar>
            <w:vAlign w:val="center"/>
          </w:tcPr>
          <w:p w14:paraId="18FAA4F0">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22B7B1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5A47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CFCB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30C55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41E5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1C0B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E49D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B33F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63F93CF">
            <w:pPr>
              <w:rPr>
                <w:rFonts w:ascii="黑体" w:hAnsi="黑体" w:eastAsia="黑体"/>
                <w:szCs w:val="21"/>
              </w:rPr>
            </w:pPr>
          </w:p>
        </w:tc>
        <w:tc>
          <w:tcPr>
            <w:tcW w:w="1701" w:type="dxa"/>
            <w:vMerge w:val="restart"/>
            <w:shd w:val="clear" w:color="auto" w:fill="auto"/>
            <w:tcMar>
              <w:left w:w="108" w:type="dxa"/>
              <w:right w:w="108" w:type="dxa"/>
            </w:tcMar>
            <w:vAlign w:val="center"/>
          </w:tcPr>
          <w:p w14:paraId="271831E3">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302A7AA">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3D2963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FCDA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7899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E672E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B0C0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B740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B6D4A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328D2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3EBEE18">
            <w:pPr>
              <w:rPr>
                <w:rFonts w:ascii="黑体" w:hAnsi="黑体" w:eastAsia="黑体"/>
                <w:szCs w:val="21"/>
              </w:rPr>
            </w:pPr>
          </w:p>
        </w:tc>
        <w:tc>
          <w:tcPr>
            <w:tcW w:w="1701" w:type="dxa"/>
            <w:vMerge w:val="continue"/>
            <w:shd w:val="clear" w:color="auto" w:fill="auto"/>
            <w:tcMar>
              <w:left w:w="108" w:type="dxa"/>
              <w:right w:w="108" w:type="dxa"/>
            </w:tcMar>
            <w:vAlign w:val="center"/>
          </w:tcPr>
          <w:p w14:paraId="2F9D5C0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D8A261A">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4097B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35A8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BBD0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403C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B8AAC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0CAA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B048C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575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136C90B">
            <w:pPr>
              <w:rPr>
                <w:rFonts w:ascii="黑体" w:hAnsi="黑体" w:eastAsia="黑体"/>
                <w:szCs w:val="21"/>
              </w:rPr>
            </w:pPr>
          </w:p>
        </w:tc>
        <w:tc>
          <w:tcPr>
            <w:tcW w:w="1701" w:type="dxa"/>
            <w:vMerge w:val="continue"/>
            <w:shd w:val="clear" w:color="auto" w:fill="auto"/>
            <w:tcMar>
              <w:left w:w="108" w:type="dxa"/>
              <w:right w:w="108" w:type="dxa"/>
            </w:tcMar>
            <w:vAlign w:val="center"/>
          </w:tcPr>
          <w:p w14:paraId="76CFFC4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39E597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297FDE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96EC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38C3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40E10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7E78D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CB6E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D637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A21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DC9BB60">
            <w:pPr>
              <w:rPr>
                <w:rFonts w:ascii="黑体" w:hAnsi="黑体" w:eastAsia="黑体"/>
                <w:szCs w:val="21"/>
              </w:rPr>
            </w:pPr>
          </w:p>
        </w:tc>
        <w:tc>
          <w:tcPr>
            <w:tcW w:w="1701" w:type="dxa"/>
            <w:vMerge w:val="continue"/>
            <w:shd w:val="clear" w:color="auto" w:fill="auto"/>
            <w:tcMar>
              <w:left w:w="108" w:type="dxa"/>
              <w:right w:w="108" w:type="dxa"/>
            </w:tcMar>
            <w:vAlign w:val="center"/>
          </w:tcPr>
          <w:p w14:paraId="1EC41DC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B486E7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61B4C8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E05C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1B7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A5A5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F4B64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FB40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2BD61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BB3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3095054">
            <w:pPr>
              <w:rPr>
                <w:rFonts w:ascii="黑体" w:hAnsi="黑体" w:eastAsia="黑体"/>
                <w:szCs w:val="21"/>
              </w:rPr>
            </w:pPr>
          </w:p>
        </w:tc>
        <w:tc>
          <w:tcPr>
            <w:tcW w:w="1701" w:type="dxa"/>
            <w:vMerge w:val="continue"/>
            <w:shd w:val="clear" w:color="auto" w:fill="auto"/>
            <w:tcMar>
              <w:left w:w="108" w:type="dxa"/>
              <w:right w:w="108" w:type="dxa"/>
            </w:tcMar>
            <w:vAlign w:val="center"/>
          </w:tcPr>
          <w:p w14:paraId="5BAA66D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51F3B5A">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543E3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DABC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DF1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68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181F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ECE5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FFBE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AE71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1862C03">
            <w:pPr>
              <w:rPr>
                <w:rFonts w:ascii="黑体" w:hAnsi="黑体" w:eastAsia="黑体"/>
                <w:szCs w:val="21"/>
              </w:rPr>
            </w:pPr>
          </w:p>
        </w:tc>
        <w:tc>
          <w:tcPr>
            <w:tcW w:w="1701" w:type="dxa"/>
            <w:vMerge w:val="continue"/>
            <w:shd w:val="clear" w:color="auto" w:fill="auto"/>
            <w:tcMar>
              <w:left w:w="108" w:type="dxa"/>
              <w:right w:w="108" w:type="dxa"/>
            </w:tcMar>
            <w:vAlign w:val="center"/>
          </w:tcPr>
          <w:p w14:paraId="266FB76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0AB6FF">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6576F7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5E66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F8F8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2FD1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B077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1C11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046A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C54A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43A6A4">
            <w:pPr>
              <w:rPr>
                <w:rFonts w:ascii="黑体" w:hAnsi="黑体" w:eastAsia="黑体"/>
                <w:szCs w:val="21"/>
              </w:rPr>
            </w:pPr>
          </w:p>
        </w:tc>
        <w:tc>
          <w:tcPr>
            <w:tcW w:w="1701" w:type="dxa"/>
            <w:vMerge w:val="continue"/>
            <w:shd w:val="clear" w:color="auto" w:fill="auto"/>
            <w:tcMar>
              <w:left w:w="108" w:type="dxa"/>
              <w:right w:w="108" w:type="dxa"/>
            </w:tcMar>
            <w:vAlign w:val="center"/>
          </w:tcPr>
          <w:p w14:paraId="0922807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286DE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1CFE1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D0D5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D234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B4A4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6A99F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FA1D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19CEB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9E35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45A5B9">
            <w:pPr>
              <w:rPr>
                <w:rFonts w:ascii="黑体" w:hAnsi="黑体" w:eastAsia="黑体"/>
                <w:szCs w:val="21"/>
              </w:rPr>
            </w:pPr>
          </w:p>
        </w:tc>
        <w:tc>
          <w:tcPr>
            <w:tcW w:w="1701" w:type="dxa"/>
            <w:vMerge w:val="continue"/>
            <w:shd w:val="clear" w:color="auto" w:fill="auto"/>
            <w:tcMar>
              <w:left w:w="108" w:type="dxa"/>
              <w:right w:w="108" w:type="dxa"/>
            </w:tcMar>
            <w:vAlign w:val="center"/>
          </w:tcPr>
          <w:p w14:paraId="2170315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6197ACC">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895F7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D5BE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D976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B4A89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1821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FCC2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A9EF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DA33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B53F7F">
            <w:pPr>
              <w:rPr>
                <w:rFonts w:ascii="黑体" w:hAnsi="黑体" w:eastAsia="黑体"/>
                <w:szCs w:val="21"/>
              </w:rPr>
            </w:pPr>
          </w:p>
        </w:tc>
        <w:tc>
          <w:tcPr>
            <w:tcW w:w="1701" w:type="dxa"/>
            <w:vMerge w:val="restart"/>
            <w:shd w:val="clear" w:color="auto" w:fill="auto"/>
            <w:tcMar>
              <w:left w:w="108" w:type="dxa"/>
              <w:right w:w="108" w:type="dxa"/>
            </w:tcMar>
            <w:vAlign w:val="center"/>
          </w:tcPr>
          <w:p w14:paraId="7D623371">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47B3165">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B318F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14:paraId="5DFC7C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CEAE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2B186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36624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8EC7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1F419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7AFD6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C04A32">
            <w:pPr>
              <w:rPr>
                <w:rFonts w:ascii="黑体" w:hAnsi="黑体" w:eastAsia="黑体"/>
                <w:szCs w:val="21"/>
              </w:rPr>
            </w:pPr>
          </w:p>
        </w:tc>
        <w:tc>
          <w:tcPr>
            <w:tcW w:w="1701" w:type="dxa"/>
            <w:vMerge w:val="continue"/>
            <w:shd w:val="clear" w:color="auto" w:fill="auto"/>
            <w:tcMar>
              <w:left w:w="108" w:type="dxa"/>
              <w:right w:w="108" w:type="dxa"/>
            </w:tcMar>
            <w:vAlign w:val="center"/>
          </w:tcPr>
          <w:p w14:paraId="4E69FF66">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649AFC25">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43865F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54E4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216C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A777C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5C54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750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7B61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920B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5E9192D">
            <w:pPr>
              <w:rPr>
                <w:rFonts w:ascii="黑体" w:hAnsi="黑体" w:eastAsia="黑体"/>
                <w:szCs w:val="21"/>
              </w:rPr>
            </w:pPr>
          </w:p>
        </w:tc>
        <w:tc>
          <w:tcPr>
            <w:tcW w:w="1701" w:type="dxa"/>
            <w:vMerge w:val="continue"/>
            <w:shd w:val="clear" w:color="auto" w:fill="auto"/>
            <w:tcMar>
              <w:left w:w="108" w:type="dxa"/>
              <w:right w:w="108" w:type="dxa"/>
            </w:tcMar>
            <w:vAlign w:val="center"/>
          </w:tcPr>
          <w:p w14:paraId="2583F43E">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66348D80">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590859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9128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D0E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87A9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20A81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8330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206BB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67D4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B9E1CC">
            <w:pPr>
              <w:rPr>
                <w:rFonts w:ascii="黑体" w:hAnsi="黑体" w:eastAsia="黑体"/>
                <w:szCs w:val="21"/>
              </w:rPr>
            </w:pPr>
          </w:p>
        </w:tc>
        <w:tc>
          <w:tcPr>
            <w:tcW w:w="1701" w:type="dxa"/>
            <w:vMerge w:val="restart"/>
            <w:shd w:val="clear" w:color="auto" w:fill="auto"/>
            <w:tcMar>
              <w:left w:w="108" w:type="dxa"/>
              <w:right w:w="108" w:type="dxa"/>
            </w:tcMar>
            <w:vAlign w:val="center"/>
          </w:tcPr>
          <w:p w14:paraId="289C6DB1">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4D4BD197">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D23E9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384D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8B0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80A2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2B8B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53AE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FBB58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773E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5DF1">
            <w:pPr>
              <w:rPr>
                <w:rFonts w:ascii="黑体" w:hAnsi="黑体" w:eastAsia="黑体"/>
                <w:szCs w:val="21"/>
              </w:rPr>
            </w:pPr>
          </w:p>
        </w:tc>
        <w:tc>
          <w:tcPr>
            <w:tcW w:w="1701" w:type="dxa"/>
            <w:vMerge w:val="continue"/>
            <w:shd w:val="clear" w:color="auto" w:fill="auto"/>
            <w:tcMar>
              <w:left w:w="108" w:type="dxa"/>
              <w:right w:w="108" w:type="dxa"/>
            </w:tcMar>
            <w:vAlign w:val="center"/>
          </w:tcPr>
          <w:p w14:paraId="3754345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F2FA0AC">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2E21A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A920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F2428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939A9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EB961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7E66B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6916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3A4F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35F595">
            <w:pPr>
              <w:rPr>
                <w:rFonts w:ascii="黑体" w:hAnsi="黑体" w:eastAsia="黑体"/>
                <w:szCs w:val="21"/>
              </w:rPr>
            </w:pPr>
          </w:p>
        </w:tc>
        <w:tc>
          <w:tcPr>
            <w:tcW w:w="1701" w:type="dxa"/>
            <w:vMerge w:val="continue"/>
            <w:shd w:val="clear" w:color="auto" w:fill="auto"/>
            <w:tcMar>
              <w:left w:w="108" w:type="dxa"/>
              <w:right w:w="108" w:type="dxa"/>
            </w:tcMar>
            <w:vAlign w:val="center"/>
          </w:tcPr>
          <w:p w14:paraId="50627F7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8C1263B">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12B541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DB26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59B0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57F19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7D01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ADDD4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1A083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7F6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67428E1">
            <w:pPr>
              <w:rPr>
                <w:rFonts w:ascii="黑体" w:hAnsi="黑体" w:eastAsia="黑体"/>
                <w:szCs w:val="21"/>
              </w:rPr>
            </w:pPr>
          </w:p>
        </w:tc>
        <w:tc>
          <w:tcPr>
            <w:tcW w:w="1701" w:type="dxa"/>
            <w:vMerge w:val="continue"/>
            <w:shd w:val="clear" w:color="auto" w:fill="auto"/>
            <w:tcMar>
              <w:left w:w="108" w:type="dxa"/>
              <w:right w:w="108" w:type="dxa"/>
            </w:tcMar>
            <w:vAlign w:val="center"/>
          </w:tcPr>
          <w:p w14:paraId="4EE244C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87E2723">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6EEC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92FE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0A6A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23597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F5E0C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1EDF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6E865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2C75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12FB24">
            <w:pPr>
              <w:rPr>
                <w:rFonts w:ascii="黑体" w:hAnsi="黑体" w:eastAsia="黑体"/>
                <w:szCs w:val="21"/>
              </w:rPr>
            </w:pPr>
          </w:p>
        </w:tc>
        <w:tc>
          <w:tcPr>
            <w:tcW w:w="1701" w:type="dxa"/>
            <w:vMerge w:val="continue"/>
            <w:shd w:val="clear" w:color="auto" w:fill="auto"/>
            <w:tcMar>
              <w:left w:w="108" w:type="dxa"/>
              <w:right w:w="108" w:type="dxa"/>
            </w:tcMar>
            <w:vAlign w:val="center"/>
          </w:tcPr>
          <w:p w14:paraId="723DC5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E8684EA">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040A2299">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CEED0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B08C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4926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9C822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9637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9255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60582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3285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36D239">
            <w:pPr>
              <w:rPr>
                <w:rFonts w:ascii="黑体" w:hAnsi="黑体" w:eastAsia="黑体"/>
                <w:szCs w:val="21"/>
              </w:rPr>
            </w:pPr>
          </w:p>
        </w:tc>
        <w:tc>
          <w:tcPr>
            <w:tcW w:w="1701" w:type="dxa"/>
            <w:vMerge w:val="restart"/>
            <w:shd w:val="clear" w:color="auto" w:fill="auto"/>
            <w:tcMar>
              <w:left w:w="108" w:type="dxa"/>
              <w:right w:w="108" w:type="dxa"/>
            </w:tcMar>
            <w:vAlign w:val="center"/>
          </w:tcPr>
          <w:p w14:paraId="02A8443C">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4AAF458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7500C5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9E7B0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415D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90B57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9BA48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B0BC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9602E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D805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17930EC">
            <w:pPr>
              <w:rPr>
                <w:rFonts w:ascii="黑体" w:hAnsi="黑体" w:eastAsia="黑体"/>
                <w:szCs w:val="21"/>
              </w:rPr>
            </w:pPr>
          </w:p>
        </w:tc>
        <w:tc>
          <w:tcPr>
            <w:tcW w:w="1701" w:type="dxa"/>
            <w:vMerge w:val="continue"/>
            <w:shd w:val="clear" w:color="auto" w:fill="auto"/>
            <w:tcMar>
              <w:left w:w="108" w:type="dxa"/>
              <w:right w:w="108" w:type="dxa"/>
            </w:tcMar>
            <w:vAlign w:val="center"/>
          </w:tcPr>
          <w:p w14:paraId="528187FC">
            <w:pPr>
              <w:widowControl/>
              <w:spacing w:line="300" w:lineRule="exact"/>
              <w:rPr>
                <w:rFonts w:ascii="黑体" w:hAnsi="黑体" w:eastAsia="黑体"/>
                <w:kern w:val="0"/>
                <w:szCs w:val="21"/>
              </w:rPr>
            </w:pPr>
          </w:p>
        </w:tc>
        <w:tc>
          <w:tcPr>
            <w:tcW w:w="2976" w:type="dxa"/>
            <w:shd w:val="clear" w:color="auto" w:fill="auto"/>
            <w:vAlign w:val="center"/>
          </w:tcPr>
          <w:p w14:paraId="6A2C7BA7">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31322A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04C8F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0040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11A37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56C5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9DD3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27117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64A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5FC061E">
            <w:pPr>
              <w:rPr>
                <w:rFonts w:ascii="黑体" w:hAnsi="黑体" w:eastAsia="黑体"/>
                <w:szCs w:val="21"/>
              </w:rPr>
            </w:pPr>
          </w:p>
        </w:tc>
        <w:tc>
          <w:tcPr>
            <w:tcW w:w="1701" w:type="dxa"/>
            <w:vMerge w:val="continue"/>
            <w:shd w:val="clear" w:color="auto" w:fill="auto"/>
            <w:tcMar>
              <w:left w:w="108" w:type="dxa"/>
              <w:right w:w="108" w:type="dxa"/>
            </w:tcMar>
            <w:vAlign w:val="center"/>
          </w:tcPr>
          <w:p w14:paraId="10034D04">
            <w:pPr>
              <w:widowControl/>
              <w:spacing w:line="300" w:lineRule="exact"/>
              <w:rPr>
                <w:rFonts w:ascii="黑体" w:hAnsi="黑体" w:eastAsia="黑体"/>
                <w:kern w:val="0"/>
                <w:szCs w:val="21"/>
              </w:rPr>
            </w:pPr>
          </w:p>
        </w:tc>
        <w:tc>
          <w:tcPr>
            <w:tcW w:w="2976" w:type="dxa"/>
            <w:shd w:val="clear" w:color="auto" w:fill="auto"/>
            <w:vAlign w:val="center"/>
          </w:tcPr>
          <w:p w14:paraId="47761C8A">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4646FB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B297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5770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7F722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83E1F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0DF4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F4D25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5157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4CFE032">
            <w:pPr>
              <w:rPr>
                <w:rFonts w:ascii="黑体" w:hAnsi="黑体" w:eastAsia="黑体"/>
                <w:szCs w:val="21"/>
              </w:rPr>
            </w:pPr>
          </w:p>
        </w:tc>
        <w:tc>
          <w:tcPr>
            <w:tcW w:w="4677" w:type="dxa"/>
            <w:gridSpan w:val="2"/>
            <w:shd w:val="clear" w:color="auto" w:fill="auto"/>
            <w:tcMar>
              <w:left w:w="108" w:type="dxa"/>
              <w:right w:w="108" w:type="dxa"/>
            </w:tcMar>
            <w:vAlign w:val="center"/>
          </w:tcPr>
          <w:p w14:paraId="26F1444E">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D667C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shd w:val="clear" w:color="auto" w:fill="auto"/>
            <w:tcMar>
              <w:left w:w="108" w:type="dxa"/>
              <w:right w:w="108" w:type="dxa"/>
            </w:tcMar>
            <w:vAlign w:val="center"/>
          </w:tcPr>
          <w:p w14:paraId="7E4986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1565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8C1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927F2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B7CD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7378B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63A2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03E51B6">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284B15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B3F5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9DFE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30CE8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D6E48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F5A1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3DE5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4FBE7418">
      <w:pPr>
        <w:spacing w:line="600" w:lineRule="exact"/>
        <w:ind w:firstLine="640" w:firstLineChars="200"/>
        <w:rPr>
          <w:rFonts w:ascii="楷体_GB2312" w:eastAsia="楷体_GB2312"/>
          <w:b/>
          <w:bCs/>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6A78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348073">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B4EB4B">
            <w:pPr>
              <w:widowControl/>
              <w:jc w:val="center"/>
              <w:rPr>
                <w:rFonts w:ascii="黑体" w:hAnsi="黑体" w:eastAsia="黑体"/>
              </w:rPr>
            </w:pPr>
            <w:r>
              <w:rPr>
                <w:rFonts w:ascii="黑体" w:hAnsi="黑体" w:eastAsia="黑体"/>
                <w:kern w:val="0"/>
                <w:sz w:val="20"/>
                <w:szCs w:val="20"/>
              </w:rPr>
              <w:t>行政诉讼</w:t>
            </w:r>
          </w:p>
        </w:tc>
      </w:tr>
      <w:tr w14:paraId="3C82E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5E1FB">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C2EDD90">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21D9A4E">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21E212">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96500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46198A4">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D963E">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3833261F">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CE7642">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6D1429">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E20B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AC5A5F">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CE0B72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7C2D5A">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16565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25531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FAFD8D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D85251">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529EA5">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28CC00F">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026FDB">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2F8159E9">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1A40BB">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D748D9">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94023E">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439FF5AF">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20CFCB">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45CF1962">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5D93D3">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3B88EE">
            <w:pPr>
              <w:widowControl/>
              <w:jc w:val="center"/>
              <w:rPr>
                <w:rFonts w:ascii="黑体" w:hAnsi="黑体" w:eastAsia="黑体"/>
              </w:rPr>
            </w:pPr>
            <w:r>
              <w:rPr>
                <w:rFonts w:ascii="黑体" w:hAnsi="黑体" w:eastAsia="黑体"/>
                <w:kern w:val="0"/>
                <w:sz w:val="20"/>
                <w:szCs w:val="20"/>
              </w:rPr>
              <w:t>总计</w:t>
            </w:r>
          </w:p>
        </w:tc>
      </w:tr>
      <w:tr w14:paraId="7980E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A83AA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77529DB">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DFB372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DCBA7C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3B2E14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30F91D0">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A268952">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BD18CF">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F0A19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7AE58E8">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7F5655">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C4B0DD">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C03E3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1F8ADCC">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FAE7294">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r>
    </w:tbl>
    <w:p w14:paraId="4EAE47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黑体" w:hAnsi="黑体" w:eastAsia="黑体" w:cs="黑体"/>
          <w:i w:val="0"/>
          <w:iCs w:val="0"/>
          <w:caps w:val="0"/>
          <w:color w:val="333333"/>
          <w:spacing w:val="0"/>
          <w:sz w:val="32"/>
          <w:szCs w:val="32"/>
          <w:u w:val="none"/>
        </w:rPr>
      </w:pPr>
      <w:r>
        <w:rPr>
          <w:rStyle w:val="9"/>
          <w:rFonts w:hint="eastAsia" w:ascii="黑体" w:hAnsi="黑体" w:eastAsia="黑体" w:cs="黑体"/>
          <w:b/>
          <w:bCs/>
          <w:i w:val="0"/>
          <w:iCs w:val="0"/>
          <w:caps w:val="0"/>
          <w:color w:val="333333"/>
          <w:spacing w:val="0"/>
          <w:sz w:val="32"/>
          <w:szCs w:val="32"/>
          <w:u w:val="none"/>
        </w:rPr>
        <w:t>五、存在的主要问题及改进情况</w:t>
      </w:r>
    </w:p>
    <w:p w14:paraId="7E3D6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针对202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年度政府信息公开工作存在的“依申请公开办理规范性有待进一步增强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政策解读形式有待进一步</w:t>
      </w:r>
      <w:r>
        <w:rPr>
          <w:rFonts w:hint="eastAsia" w:ascii="仿宋_GB2312" w:hAnsi="仿宋_GB2312" w:eastAsia="仿宋_GB2312" w:cs="仿宋_GB2312"/>
          <w:sz w:val="32"/>
          <w:szCs w:val="32"/>
          <w:lang w:eastAsia="zh-CN"/>
        </w:rPr>
        <w:t>提升、主动公开事项目录有待进一步明确</w:t>
      </w:r>
      <w:r>
        <w:rPr>
          <w:rFonts w:hint="eastAsia" w:ascii="仿宋_GB2312" w:hAnsi="仿宋_GB2312" w:eastAsia="仿宋_GB2312" w:cs="仿宋_GB2312"/>
          <w:sz w:val="32"/>
          <w:szCs w:val="32"/>
        </w:rPr>
        <w:t>”问题，我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年扎实进行整改：</w:t>
      </w:r>
      <w:r>
        <w:rPr>
          <w:rFonts w:hint="eastAsia" w:ascii="楷体" w:hAnsi="楷体" w:eastAsia="楷体" w:cs="楷体"/>
          <w:i w:val="0"/>
          <w:iCs w:val="0"/>
          <w:caps w:val="0"/>
          <w:color w:val="333333"/>
          <w:spacing w:val="0"/>
          <w:sz w:val="32"/>
          <w:szCs w:val="32"/>
          <w:u w:val="none"/>
        </w:rPr>
        <w:t>一是规范依申请公开办理</w:t>
      </w:r>
      <w:r>
        <w:rPr>
          <w:rFonts w:hint="eastAsia" w:ascii="仿宋" w:hAnsi="仿宋" w:eastAsia="仿宋" w:cs="仿宋"/>
          <w:i w:val="0"/>
          <w:iCs w:val="0"/>
          <w:caps w:val="0"/>
          <w:color w:val="333333"/>
          <w:spacing w:val="0"/>
          <w:sz w:val="32"/>
          <w:szCs w:val="32"/>
          <w:u w:val="none"/>
          <w:lang w:eastAsia="zh-CN"/>
        </w:rPr>
        <w:t>。</w:t>
      </w:r>
      <w:r>
        <w:rPr>
          <w:rFonts w:hint="eastAsia" w:ascii="仿宋_GB2312" w:hAnsi="仿宋_GB2312" w:eastAsia="仿宋_GB2312" w:cs="仿宋_GB2312"/>
          <w:sz w:val="32"/>
          <w:szCs w:val="32"/>
          <w:lang w:eastAsia="zh-CN"/>
        </w:rPr>
        <w:t>修订办理规范，强化流程审核与标准答复</w:t>
      </w:r>
      <w:r>
        <w:rPr>
          <w:rFonts w:hint="eastAsia" w:ascii="仿宋_GB2312" w:hAnsi="仿宋_GB2312" w:eastAsia="仿宋_GB2312" w:cs="仿宋_GB2312"/>
          <w:sz w:val="32"/>
          <w:szCs w:val="32"/>
        </w:rPr>
        <w:t>，提升办理专业化水平。</w:t>
      </w:r>
      <w:r>
        <w:rPr>
          <w:rFonts w:hint="eastAsia" w:ascii="楷体" w:hAnsi="楷体" w:eastAsia="楷体" w:cs="楷体"/>
          <w:i w:val="0"/>
          <w:iCs w:val="0"/>
          <w:caps w:val="0"/>
          <w:color w:val="333333"/>
          <w:spacing w:val="0"/>
          <w:sz w:val="32"/>
          <w:szCs w:val="32"/>
          <w:u w:val="none"/>
        </w:rPr>
        <w:t>二是创新政策解读形式</w:t>
      </w:r>
      <w:r>
        <w:rPr>
          <w:rFonts w:hint="eastAsia" w:ascii="仿宋" w:hAnsi="仿宋" w:eastAsia="仿宋" w:cs="仿宋"/>
          <w:i w:val="0"/>
          <w:iCs w:val="0"/>
          <w:caps w:val="0"/>
          <w:color w:val="333333"/>
          <w:spacing w:val="0"/>
          <w:sz w:val="32"/>
          <w:szCs w:val="32"/>
          <w:u w:val="none"/>
          <w:lang w:eastAsia="zh-CN"/>
        </w:rPr>
        <w:t>。</w:t>
      </w:r>
      <w:r>
        <w:rPr>
          <w:rFonts w:hint="eastAsia" w:ascii="仿宋_GB2312" w:hAnsi="仿宋_GB2312" w:eastAsia="仿宋_GB2312"/>
          <w:color w:val="000000"/>
          <w:sz w:val="32"/>
          <w:szCs w:val="32"/>
          <w:lang w:val="en-US" w:eastAsia="zh-CN"/>
        </w:rPr>
        <w:t>在落实常规解读基础上，积极运用专家解读、媒体访谈、负责人解读等多种形式，并与专业机构合作开展图文解读，提升政策传播效果。</w:t>
      </w:r>
      <w:r>
        <w:rPr>
          <w:rFonts w:hint="eastAsia" w:ascii="楷体" w:hAnsi="楷体" w:eastAsia="楷体" w:cs="楷体"/>
          <w:i w:val="0"/>
          <w:iCs w:val="0"/>
          <w:caps w:val="0"/>
          <w:color w:val="333333"/>
          <w:spacing w:val="0"/>
          <w:sz w:val="32"/>
          <w:szCs w:val="32"/>
          <w:u w:val="none"/>
        </w:rPr>
        <w:t>三是</w:t>
      </w:r>
      <w:r>
        <w:rPr>
          <w:rFonts w:hint="eastAsia" w:ascii="楷体" w:hAnsi="楷体" w:eastAsia="楷体" w:cs="楷体"/>
          <w:i w:val="0"/>
          <w:iCs w:val="0"/>
          <w:caps w:val="0"/>
          <w:color w:val="333333"/>
          <w:spacing w:val="0"/>
          <w:sz w:val="32"/>
          <w:szCs w:val="32"/>
          <w:u w:val="none"/>
          <w:lang w:eastAsia="zh-CN"/>
        </w:rPr>
        <w:t>规范</w:t>
      </w:r>
      <w:r>
        <w:rPr>
          <w:rFonts w:hint="eastAsia" w:ascii="楷体" w:hAnsi="楷体" w:eastAsia="楷体" w:cs="楷体"/>
          <w:i w:val="0"/>
          <w:iCs w:val="0"/>
          <w:caps w:val="0"/>
          <w:color w:val="333333"/>
          <w:spacing w:val="0"/>
          <w:sz w:val="32"/>
          <w:szCs w:val="32"/>
          <w:u w:val="none"/>
        </w:rPr>
        <w:t>主动公开目录</w:t>
      </w:r>
      <w:r>
        <w:rPr>
          <w:rFonts w:hint="eastAsia" w:ascii="楷体" w:hAnsi="楷体" w:eastAsia="楷体" w:cs="楷体"/>
          <w:i w:val="0"/>
          <w:iCs w:val="0"/>
          <w:caps w:val="0"/>
          <w:color w:val="333333"/>
          <w:spacing w:val="0"/>
          <w:sz w:val="32"/>
          <w:szCs w:val="32"/>
          <w:u w:val="none"/>
          <w:lang w:eastAsia="zh-CN"/>
        </w:rPr>
        <w:t>。</w:t>
      </w:r>
      <w:r>
        <w:rPr>
          <w:rFonts w:hint="eastAsia" w:ascii="仿宋_GB2312" w:hAnsi="仿宋_GB2312" w:eastAsia="仿宋_GB2312" w:cs="仿宋_GB2312"/>
          <w:sz w:val="32"/>
          <w:szCs w:val="32"/>
        </w:rPr>
        <w:t>制定并动态更新目录，明确公开要素、时限和载体，提升公开标准化水平。</w:t>
      </w:r>
    </w:p>
    <w:p w14:paraId="72C0D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六、其他需要报告的事项</w:t>
      </w:r>
    </w:p>
    <w:p w14:paraId="4F172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i w:val="0"/>
          <w:iCs w:val="0"/>
          <w:caps w:val="0"/>
          <w:color w:val="333333"/>
          <w:spacing w:val="0"/>
          <w:sz w:val="32"/>
          <w:szCs w:val="32"/>
          <w:lang w:eastAsia="zh-CN"/>
        </w:rPr>
        <w:t>（一</w:t>
      </w:r>
      <w:r>
        <w:rPr>
          <w:rFonts w:hint="eastAsia" w:ascii="楷体_GB2312" w:hAnsi="楷体_GB2312" w:eastAsia="楷体_GB2312" w:cs="楷体_GB2312"/>
          <w:i w:val="0"/>
          <w:iCs w:val="0"/>
          <w:caps w:val="0"/>
          <w:color w:val="333333"/>
          <w:spacing w:val="0"/>
          <w:sz w:val="32"/>
          <w:szCs w:val="32"/>
        </w:rPr>
        <w:t>）收取信息处理费情况。</w:t>
      </w:r>
      <w:r>
        <w:rPr>
          <w:rFonts w:hint="eastAsia" w:ascii="仿宋_GB2312" w:hAnsi="仿宋_GB2312" w:eastAsia="仿宋_GB2312" w:cs="仿宋_GB2312"/>
          <w:sz w:val="32"/>
          <w:szCs w:val="32"/>
          <w:lang w:eastAsia="zh-CN"/>
        </w:rPr>
        <w:t>全年政府信息公开均未收取任何检索、复制、邮寄等费用，未发生减免费用的情况。</w:t>
      </w:r>
    </w:p>
    <w:p w14:paraId="0BED3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i w:val="0"/>
          <w:iCs w:val="0"/>
          <w:caps w:val="0"/>
          <w:color w:val="333333"/>
          <w:spacing w:val="0"/>
          <w:sz w:val="32"/>
          <w:szCs w:val="32"/>
          <w:lang w:val="en-US" w:eastAsia="zh-CN"/>
        </w:rPr>
        <w:t>（二）落实2025年省政务公开工作要点情况。</w:t>
      </w:r>
      <w:r>
        <w:rPr>
          <w:rFonts w:hint="eastAsia" w:ascii="仿宋_GB2312" w:hAnsi="仿宋_GB2312" w:eastAsia="仿宋_GB2312" w:cs="仿宋_GB2312"/>
          <w:sz w:val="32"/>
          <w:szCs w:val="32"/>
          <w:lang w:eastAsia="zh-CN"/>
        </w:rPr>
        <w:t>按照《202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年山东省政务公开工作要点》，制定我局政务公开工作实施方案，结合部门实际细化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个方面1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项重点工作任务和分工，压实工作责任，强化跟踪督促，</w:t>
      </w:r>
      <w:r>
        <w:rPr>
          <w:rFonts w:hint="eastAsia" w:ascii="仿宋_GB2312" w:hAnsi="仿宋_GB2312" w:eastAsia="仿宋_GB2312" w:cs="仿宋_GB2312"/>
          <w:sz w:val="32"/>
          <w:szCs w:val="32"/>
          <w:lang w:val="en-US" w:eastAsia="zh-CN"/>
        </w:rPr>
        <w:t>全面完成各项目标任务。</w:t>
      </w:r>
    </w:p>
    <w:p w14:paraId="740C2F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（二）建议提案办理结果公开情况。</w:t>
      </w:r>
      <w:r>
        <w:rPr>
          <w:rFonts w:hint="eastAsia" w:ascii="仿宋_GB2312" w:eastAsia="仿宋_GB2312" w:hAnsiTheme="minorHAnsi" w:cstheme="minorBidi"/>
          <w:kern w:val="2"/>
          <w:sz w:val="32"/>
          <w:szCs w:val="32"/>
          <w:lang w:val="en-US" w:eastAsia="zh-CN" w:bidi="ar-SA"/>
        </w:rPr>
        <w:t>全年共承办省人大代表建议</w:t>
      </w:r>
      <w:r>
        <w:rPr>
          <w:rFonts w:hint="eastAsia" w:ascii="仿宋_GB2312" w:eastAsia="仿宋_GB2312" w:cstheme="minorBidi"/>
          <w:kern w:val="2"/>
          <w:sz w:val="32"/>
          <w:szCs w:val="32"/>
          <w:lang w:val="en-US" w:eastAsia="zh-CN" w:bidi="ar-SA"/>
        </w:rPr>
        <w:t>6</w:t>
      </w:r>
      <w:r>
        <w:rPr>
          <w:rFonts w:hint="eastAsia" w:ascii="仿宋_GB2312" w:eastAsia="仿宋_GB2312" w:hAnsiTheme="minorHAnsi" w:cstheme="minorBidi"/>
          <w:kern w:val="2"/>
          <w:sz w:val="32"/>
          <w:szCs w:val="32"/>
          <w:lang w:val="en-US" w:eastAsia="zh-CN" w:bidi="ar-SA"/>
        </w:rPr>
        <w:t>件、省政协委员提案</w:t>
      </w: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件，答复率 100%</w:t>
      </w:r>
      <w:r>
        <w:rPr>
          <w:rFonts w:hint="eastAsia" w:ascii="仿宋_GB2312" w:eastAsia="仿宋_GB2312"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在我局政府网站全部公开，及时回应社会关切，自觉接受群众监督。</w:t>
      </w:r>
    </w:p>
    <w:p w14:paraId="5069D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14:paraId="5E091CD8">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eastAsia="仿宋_GB2312"/>
          <w:sz w:val="32"/>
          <w:szCs w:val="32"/>
          <w:lang w:eastAsia="zh-CN"/>
        </w:rPr>
      </w:pPr>
      <w:r>
        <w:rPr>
          <w:rFonts w:hint="eastAsia" w:ascii="仿宋_GB2312" w:eastAsia="仿宋_GB2312"/>
          <w:sz w:val="32"/>
          <w:szCs w:val="32"/>
          <w:lang w:eastAsia="zh-CN"/>
        </w:rPr>
        <w:t>山东省粮食和物资储备局</w:t>
      </w:r>
    </w:p>
    <w:p w14:paraId="2C8FEB9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2026年1月15日</w:t>
      </w:r>
    </w:p>
    <w:sectPr>
      <w:footerReference r:id="rId4" w:type="default"/>
      <w:pgSz w:w="11906" w:h="16838"/>
      <w:pgMar w:top="2098" w:right="1474" w:bottom="141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09F7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872722">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872722">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91F9F">
                          <w:pPr>
                            <w:pStyle w:val="4"/>
                            <w:rPr>
                              <w:sz w:val="24"/>
                              <w:szCs w:val="2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B591F9F">
                    <w:pPr>
                      <w:pStyle w:val="4"/>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D532">
    <w:pPr>
      <w:pStyle w:val="4"/>
      <w:jc w:val="center"/>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53086209"/>
                            <w:docPartObj>
                              <w:docPartGallery w:val="autotext"/>
                            </w:docPartObj>
                          </w:sdtPr>
                          <w:sdtEndPr>
                            <w:rPr>
                              <w:rFonts w:ascii="宋体" w:hAnsi="宋体" w:eastAsia="宋体"/>
                              <w:sz w:val="28"/>
                              <w:szCs w:val="28"/>
                            </w:rPr>
                          </w:sdtEndPr>
                          <w:sdtContent>
                            <w:p w14:paraId="50F3B10A">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E02E08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253086209"/>
                      <w:docPartObj>
                        <w:docPartGallery w:val="autotext"/>
                      </w:docPartObj>
                    </w:sdtPr>
                    <w:sdtEndPr>
                      <w:rPr>
                        <w:rFonts w:ascii="宋体" w:hAnsi="宋体" w:eastAsia="宋体"/>
                        <w:sz w:val="28"/>
                        <w:szCs w:val="28"/>
                      </w:rPr>
                    </w:sdtEndPr>
                    <w:sdtContent>
                      <w:p w14:paraId="50F3B10A">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E02E081">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lNWFjZDEyNjg5NmU0YTEyM2Y5MGM5MGI5ZWViMzc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8C72F61"/>
    <w:rsid w:val="1980544A"/>
    <w:rsid w:val="24363E33"/>
    <w:rsid w:val="28DB61B3"/>
    <w:rsid w:val="2A0954AE"/>
    <w:rsid w:val="2FD7E474"/>
    <w:rsid w:val="3C235F03"/>
    <w:rsid w:val="45D86A7A"/>
    <w:rsid w:val="48D862DB"/>
    <w:rsid w:val="51530B8E"/>
    <w:rsid w:val="5FBE2CAD"/>
    <w:rsid w:val="685727F0"/>
    <w:rsid w:val="6DC42A14"/>
    <w:rsid w:val="6FFF3CEB"/>
    <w:rsid w:val="70B24E8E"/>
    <w:rsid w:val="716F6B00"/>
    <w:rsid w:val="77CB46FE"/>
    <w:rsid w:val="7A1B72D3"/>
    <w:rsid w:val="7F7B03A2"/>
    <w:rsid w:val="F4F7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仿宋_GB2312" w:hAnsi="仿宋_GB2312" w:eastAsia="仿宋_GB2312"/>
      <w:sz w:val="32"/>
    </w:rPr>
  </w:style>
  <w:style w:type="paragraph" w:styleId="3">
    <w:name w:val="Date"/>
    <w:basedOn w:val="1"/>
    <w:next w:val="1"/>
    <w:link w:val="15"/>
    <w:autoRedefine/>
    <w:semiHidden/>
    <w:unhideWhenUsed/>
    <w:qFormat/>
    <w:uiPriority w:val="99"/>
    <w:pPr>
      <w:ind w:left="100" w:leftChars="250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页眉 字符"/>
    <w:basedOn w:val="8"/>
    <w:link w:val="5"/>
    <w:autoRedefine/>
    <w:qFormat/>
    <w:uiPriority w:val="99"/>
    <w:rPr>
      <w:sz w:val="18"/>
      <w:szCs w:val="18"/>
    </w:rPr>
  </w:style>
  <w:style w:type="character" w:customStyle="1" w:styleId="13">
    <w:name w:val="页脚 字符"/>
    <w:basedOn w:val="8"/>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日期 字符"/>
    <w:basedOn w:val="8"/>
    <w:link w:val="3"/>
    <w:autoRedefine/>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2917</Words>
  <Characters>3010</Characters>
  <Lines>30</Lines>
  <Paragraphs>8</Paragraphs>
  <TotalTime>3</TotalTime>
  <ScaleCrop>false</ScaleCrop>
  <LinksUpToDate>false</LinksUpToDate>
  <CharactersWithSpaces>3013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2024-01-02T07:20:00Z</dcterms:created>
  <dc:creator>元华 戚</dc:creator>
  <cp:lastModifiedBy>依米</cp:lastModifiedBy>
  <cp:lastPrinted>2025-01-15T17:54:00Z</cp:lastPrinted>
  <dcterms:modified xsi:type="dcterms:W3CDTF">2026-01-15T18:04:34Z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36FC87A7F9EB40C28F2465B2D21F9B6C_12</vt:lpwstr>
  </property>
  <property fmtid="{D5CDD505-2E9C-101B-9397-08002B2CF9AE}" pid="4" name="KSOTemplateDocerSaveRecord">
    <vt:lpwstr>eyJoZGlkIjoiMmY2OTQ1MzU1OWMxOWYxZWRjNjc0NDlmNTcwN2M2MzYiLCJ1c2VySWQiOiIyNjc0NTgyODQifQ==</vt:lpwstr>
  </property>
</Properties>
</file>