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bookmarkStart w:id="3" w:name="_GoBack"/>
      <w:bookmarkStart w:id="0" w:name="OLE_LINK3"/>
      <w:r>
        <w:rPr>
          <w:rFonts w:hint="eastAsia" w:ascii="方正小标宋简体" w:hAnsi="方正小标宋简体" w:eastAsia="方正小标宋简体" w:cs="方正小标宋简体"/>
          <w:i w:val="0"/>
          <w:color w:val="000000"/>
          <w:kern w:val="0"/>
          <w:sz w:val="44"/>
          <w:szCs w:val="44"/>
          <w:u w:val="none"/>
          <w:lang w:val="en-US" w:eastAsia="zh-CN" w:bidi="ar"/>
        </w:rPr>
        <w:t>山东省谷物磨制领域重大事故隐患执法检查重点事项清单</w:t>
      </w:r>
      <w:bookmarkEnd w:id="0"/>
    </w:p>
    <w:bookmarkEnd w:id="3"/>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tbl>
      <w:tblPr>
        <w:tblStyle w:val="8"/>
        <w:tblW w:w="14976"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984"/>
        <w:gridCol w:w="1092"/>
        <w:gridCol w:w="1188"/>
        <w:gridCol w:w="1032"/>
        <w:gridCol w:w="1500"/>
        <w:gridCol w:w="4380"/>
        <w:gridCol w:w="326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60"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序号</w:t>
            </w:r>
          </w:p>
        </w:tc>
        <w:tc>
          <w:tcPr>
            <w:tcW w:w="984"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检查事项</w:t>
            </w:r>
          </w:p>
        </w:tc>
        <w:tc>
          <w:tcPr>
            <w:tcW w:w="1092"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检查内容</w:t>
            </w:r>
          </w:p>
        </w:tc>
        <w:tc>
          <w:tcPr>
            <w:tcW w:w="1188" w:type="dxa"/>
            <w:vAlign w:val="center"/>
          </w:tcPr>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检查</w:t>
            </w:r>
          </w:p>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方式</w:t>
            </w:r>
          </w:p>
        </w:tc>
        <w:tc>
          <w:tcPr>
            <w:tcW w:w="1032"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检查结果</w:t>
            </w:r>
          </w:p>
        </w:tc>
        <w:tc>
          <w:tcPr>
            <w:tcW w:w="1500"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处理措施</w:t>
            </w:r>
          </w:p>
        </w:tc>
        <w:tc>
          <w:tcPr>
            <w:tcW w:w="4380"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检查依据</w:t>
            </w:r>
          </w:p>
        </w:tc>
        <w:tc>
          <w:tcPr>
            <w:tcW w:w="3264"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处罚标准</w:t>
            </w:r>
          </w:p>
        </w:tc>
        <w:tc>
          <w:tcPr>
            <w:tcW w:w="876" w:type="dxa"/>
            <w:vAlign w:val="center"/>
          </w:tcPr>
          <w:p>
            <w:pPr>
              <w:keepNext w:val="0"/>
              <w:keepLines w:val="0"/>
              <w:widowControl/>
              <w:suppressLineNumbers w:val="0"/>
              <w:jc w:val="center"/>
              <w:textAlignment w:val="center"/>
              <w:rPr>
                <w:vertAlign w:val="baseline"/>
              </w:rPr>
            </w:pPr>
            <w:r>
              <w:rPr>
                <w:rFonts w:hint="eastAsia" w:ascii="黑体" w:hAnsi="宋体" w:eastAsia="黑体" w:cs="黑体"/>
                <w:i w:val="0"/>
                <w:color w:val="000000"/>
                <w:kern w:val="0"/>
                <w:sz w:val="32"/>
                <w:szCs w:val="3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1</w:t>
            </w:r>
          </w:p>
        </w:tc>
        <w:tc>
          <w:tcPr>
            <w:tcW w:w="984"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安全责任制</w:t>
            </w:r>
          </w:p>
        </w:tc>
        <w:tc>
          <w:tcPr>
            <w:tcW w:w="1092"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1.是否建立与岗位相匹配的全员安全生产责任制。</w:t>
            </w:r>
          </w:p>
        </w:tc>
        <w:tc>
          <w:tcPr>
            <w:tcW w:w="1188"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查阅资料    现场检查</w:t>
            </w:r>
          </w:p>
        </w:tc>
        <w:tc>
          <w:tcPr>
            <w:tcW w:w="1032"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p>
        </w:tc>
        <w:tc>
          <w:tcPr>
            <w:tcW w:w="1500"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1.下达《责令限期整改指令书》和《现场处理措施决定书》，责令其立即停止作业，排除事故隐患；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2.依法立案处罚。</w:t>
            </w:r>
          </w:p>
        </w:tc>
        <w:tc>
          <w:tcPr>
            <w:tcW w:w="4380"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1.《谷物磨制重大事故隐患判定要点》（国家粮食和物资储备局公告2024年第4号）第三条第一项：“未建立与岗位相匹配的全员安全生产责任制的。”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2.《安全生产法》第四条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tc>
        <w:tc>
          <w:tcPr>
            <w:tcW w:w="3264"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《山东省安全生产条例》第七十五条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（一）未按照规定建立全员安全生产责任制的；</w:t>
            </w:r>
          </w:p>
        </w:tc>
        <w:tc>
          <w:tcPr>
            <w:tcW w:w="87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2</w:t>
            </w:r>
          </w:p>
        </w:tc>
        <w:tc>
          <w:tcPr>
            <w:tcW w:w="984"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安全生产事故隐患</w:t>
            </w:r>
          </w:p>
        </w:tc>
        <w:tc>
          <w:tcPr>
            <w:tcW w:w="1092"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2.是否制定实施生产安全事故隐患排查治理制度。</w:t>
            </w:r>
          </w:p>
        </w:tc>
        <w:tc>
          <w:tcPr>
            <w:tcW w:w="1188"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查阅资料    现场检查</w:t>
            </w:r>
          </w:p>
        </w:tc>
        <w:tc>
          <w:tcPr>
            <w:tcW w:w="1032"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p>
        </w:tc>
        <w:tc>
          <w:tcPr>
            <w:tcW w:w="1500" w:type="dxa"/>
            <w:vAlign w:val="center"/>
          </w:tcPr>
          <w:p>
            <w:pPr>
              <w:keepNext w:val="0"/>
              <w:keepLines w:val="0"/>
              <w:widowControl/>
              <w:numPr>
                <w:ilvl w:val="0"/>
                <w:numId w:val="0"/>
              </w:numPr>
              <w:suppressLineNumbers w:val="0"/>
              <w:ind w:firstLine="240" w:firstLineChars="100"/>
              <w:jc w:val="both"/>
              <w:textAlignment w:val="center"/>
              <w:rPr>
                <w:vertAlign w:val="baseline"/>
              </w:rPr>
            </w:pPr>
            <w:r>
              <w:rPr>
                <w:rFonts w:hint="eastAsia" w:ascii="仿宋" w:hAnsi="仿宋" w:eastAsia="仿宋" w:cs="仿宋"/>
                <w:i w:val="0"/>
                <w:color w:val="000000"/>
                <w:kern w:val="0"/>
                <w:sz w:val="24"/>
                <w:szCs w:val="24"/>
                <w:u w:val="none"/>
                <w:lang w:val="en-US" w:eastAsia="zh-CN" w:bidi="ar"/>
              </w:rPr>
              <w:t>1.下达《责令限期整改指令书》和《现场处理措施决定</w:t>
            </w:r>
          </w:p>
          <w:p>
            <w:pPr>
              <w:keepNext w:val="0"/>
              <w:keepLines w:val="0"/>
              <w:widowControl/>
              <w:numPr>
                <w:ilvl w:val="0"/>
                <w:numId w:val="0"/>
              </w:numPr>
              <w:suppressLineNumbers w:val="0"/>
              <w:jc w:val="both"/>
              <w:textAlignment w:val="center"/>
              <w:rPr>
                <w:vertAlign w:val="baseline"/>
              </w:rPr>
            </w:pPr>
            <w:r>
              <w:rPr>
                <w:rFonts w:hint="eastAsia" w:ascii="仿宋" w:hAnsi="仿宋" w:eastAsia="仿宋" w:cs="仿宋"/>
                <w:i w:val="0"/>
                <w:color w:val="000000"/>
                <w:kern w:val="0"/>
                <w:sz w:val="24"/>
                <w:szCs w:val="24"/>
                <w:u w:val="none"/>
                <w:lang w:val="en-US" w:eastAsia="zh-CN" w:bidi="ar"/>
              </w:rPr>
              <w:t>书》，责令其立即停止作业，排除事故隐患；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2.依法立案处罚。</w:t>
            </w:r>
          </w:p>
        </w:tc>
        <w:tc>
          <w:tcPr>
            <w:tcW w:w="4380" w:type="dxa"/>
            <w:vAlign w:val="center"/>
          </w:tcPr>
          <w:p>
            <w:pPr>
              <w:keepNext w:val="0"/>
              <w:keepLines w:val="0"/>
              <w:widowControl/>
              <w:suppressLineNumbers w:val="0"/>
              <w:jc w:val="left"/>
              <w:textAlignment w:val="center"/>
              <w:rPr>
                <w:vertAlign w:val="baseline"/>
              </w:rPr>
            </w:pPr>
            <w:r>
              <w:rPr>
                <w:rStyle w:val="12"/>
                <w:lang w:val="en-US" w:eastAsia="zh-CN" w:bidi="ar"/>
              </w:rPr>
              <w:t xml:space="preserve">  1.《谷物磨制重大事故隐患判定要点》（国家粮食和物资储备局公告2024年第4号）第三条第二项：“未制定实施生产安全事故隐患排查治理制度的。”</w:t>
            </w:r>
            <w:r>
              <w:rPr>
                <w:rStyle w:val="12"/>
                <w:lang w:val="en-US" w:eastAsia="zh-CN" w:bidi="ar"/>
              </w:rPr>
              <w:br w:type="textWrapping"/>
            </w:r>
            <w:r>
              <w:rPr>
                <w:rStyle w:val="12"/>
                <w:lang w:val="en-US" w:eastAsia="zh-CN" w:bidi="ar"/>
              </w:rPr>
              <w:t xml:space="preserve">  2.《安全生产法》第四十一条</w:t>
            </w:r>
            <w:r>
              <w:rPr>
                <w:rFonts w:hint="default" w:ascii="Times New Roman" w:hAnsi="Times New Roman" w:eastAsia="仿宋" w:cs="Times New Roman"/>
                <w:i w:val="0"/>
                <w:color w:val="000000"/>
                <w:kern w:val="0"/>
                <w:sz w:val="24"/>
                <w:szCs w:val="24"/>
                <w:u w:val="none"/>
                <w:lang w:val="en-US" w:eastAsia="zh-CN" w:bidi="ar"/>
              </w:rPr>
              <w:t> </w:t>
            </w:r>
            <w:r>
              <w:rPr>
                <w:rStyle w:val="12"/>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264"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（五）未建立事故隐患排查治理制度，或者重大事故隐患排查治理情况未按照规定报告的。</w:t>
            </w:r>
          </w:p>
        </w:tc>
        <w:tc>
          <w:tcPr>
            <w:tcW w:w="876" w:type="dxa"/>
            <w:vAlign w:val="center"/>
          </w:tcPr>
          <w:p>
            <w:pPr>
              <w:keepNext w:val="0"/>
              <w:keepLines w:val="0"/>
              <w:widowControl/>
              <w:suppressLineNumbers w:val="0"/>
              <w:jc w:val="center"/>
              <w:textAlignment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3</w:t>
            </w:r>
          </w:p>
        </w:tc>
        <w:tc>
          <w:tcPr>
            <w:tcW w:w="984"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企业承包单位和承租单位的安全管理情况</w:t>
            </w:r>
          </w:p>
        </w:tc>
        <w:tc>
          <w:tcPr>
            <w:tcW w:w="109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3.是否对承包单位、承租单位及其劳务派遣人员的安全生产工作统一协调、管理，或者定期进行安全检查。</w:t>
            </w:r>
          </w:p>
        </w:tc>
        <w:tc>
          <w:tcPr>
            <w:tcW w:w="1188"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查阅资料    现场检查</w:t>
            </w:r>
          </w:p>
        </w:tc>
        <w:tc>
          <w:tcPr>
            <w:tcW w:w="1032"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p>
        </w:tc>
        <w:tc>
          <w:tcPr>
            <w:tcW w:w="1500"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ind w:firstLine="240" w:firstLineChars="10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1.下达《责令限期整改指令书》和《现场处理措施决定书》，责令其立即停止作业，排除事故隐患；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2.依法立案处罚。</w:t>
            </w:r>
          </w:p>
        </w:tc>
        <w:tc>
          <w:tcPr>
            <w:tcW w:w="4380"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1.《谷物磨制重大事故隐患判定要点》（国家粮食和物资储备局公告2024年第4号）第三条第三项：“未对承包单位或承租单位及其劳务派遣人员的安全生产工作统一协调、管理，或者未定期进行安全检查的。”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安全生产法》第四十九条：“生产经营单位不得将生产经营项目场所、设备发包或者出租给不具备安全生产条件或者相应资质的单位或者个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矿山、金属冶炼建设项目和用于生产、储存、装卸危险物品的建设项目的施工单位应当加强对施工项目的安全管理，不得倒卖、出租、出借、挂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3264"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876"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4</w:t>
            </w:r>
          </w:p>
        </w:tc>
        <w:tc>
          <w:tcPr>
            <w:tcW w:w="984"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特种作业人员持证上岗情况</w:t>
            </w:r>
          </w:p>
        </w:tc>
        <w:tc>
          <w:tcPr>
            <w:tcW w:w="1092"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4.特种作业人员是否按照规定经专门的安全作业培训并取得相应资格上岗作业。</w:t>
            </w:r>
          </w:p>
        </w:tc>
        <w:tc>
          <w:tcPr>
            <w:tcW w:w="1188"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查阅资料    现场检查</w:t>
            </w:r>
          </w:p>
        </w:tc>
        <w:tc>
          <w:tcPr>
            <w:tcW w:w="1032"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p>
        </w:tc>
        <w:tc>
          <w:tcPr>
            <w:tcW w:w="1500"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1.下达《责令限期整改指令书》和《现场处理措施决定书》，责令其立即停止作业，排除事故隐患；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2.依法立案处罚。</w:t>
            </w:r>
          </w:p>
        </w:tc>
        <w:tc>
          <w:tcPr>
            <w:tcW w:w="4380"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1.《谷物磨制重大事故隐患判定要点》（国家粮食和物资储备局公告2024年第4号）第三条第四项：“特种作业人员未按照规定经专门的安全作业培训并取得相应资格上岗作业的。”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2.《安全生产法》第三十条：“ 生产经营单位的特种作业人员必须按照国家有关规定经专门的安全作业培训，取得相应资格，方可上岗作业。”</w:t>
            </w:r>
          </w:p>
        </w:tc>
        <w:tc>
          <w:tcPr>
            <w:tcW w:w="3264"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(七)特种作业人员未按照规定经专门的安全作业培训并取得相应资格，上岗作业的。”</w:t>
            </w:r>
          </w:p>
        </w:tc>
        <w:tc>
          <w:tcPr>
            <w:tcW w:w="87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trPr>
        <w:tc>
          <w:tcPr>
            <w:tcW w:w="660"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5</w:t>
            </w:r>
          </w:p>
        </w:tc>
        <w:tc>
          <w:tcPr>
            <w:tcW w:w="984"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涉爆粉尘区域管理</w:t>
            </w:r>
          </w:p>
        </w:tc>
        <w:tc>
          <w:tcPr>
            <w:tcW w:w="1092" w:type="dxa"/>
            <w:vAlign w:val="center"/>
          </w:tcPr>
          <w:p>
            <w:pPr>
              <w:keepNext w:val="0"/>
              <w:keepLines w:val="0"/>
              <w:widowControl/>
              <w:suppressLineNumbers w:val="0"/>
              <w:jc w:val="both"/>
              <w:textAlignment w:val="center"/>
              <w:rPr>
                <w:vertAlign w:val="baseline"/>
              </w:rPr>
            </w:pPr>
            <w:r>
              <w:rPr>
                <w:rFonts w:hint="eastAsia" w:ascii="仿宋" w:hAnsi="仿宋" w:eastAsia="仿宋" w:cs="仿宋"/>
                <w:i w:val="0"/>
                <w:color w:val="000000"/>
                <w:kern w:val="0"/>
                <w:sz w:val="24"/>
                <w:szCs w:val="24"/>
                <w:u w:val="none"/>
                <w:lang w:val="en-US" w:eastAsia="zh-CN" w:bidi="ar"/>
              </w:rPr>
              <w:t>5.大米砻糠间、面粉散存仓、封闭式设备内部等划分为20区的粉尘爆炸危险场所电气设备是否符合防爆要求。</w:t>
            </w:r>
          </w:p>
        </w:tc>
        <w:tc>
          <w:tcPr>
            <w:tcW w:w="1188"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现场检查</w:t>
            </w:r>
          </w:p>
        </w:tc>
        <w:tc>
          <w:tcPr>
            <w:tcW w:w="1032" w:type="dxa"/>
            <w:vAlign w:val="center"/>
          </w:tcPr>
          <w:p>
            <w:pPr>
              <w:keepNext w:val="0"/>
              <w:keepLines w:val="0"/>
              <w:widowControl/>
              <w:suppressLineNumbers w:val="0"/>
              <w:jc w:val="center"/>
              <w:textAlignment w:val="center"/>
              <w:rPr>
                <w:vertAlign w:val="baseline"/>
              </w:rPr>
            </w:pPr>
            <w:bookmarkStart w:id="1" w:name="OLE_LINK1"/>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bookmarkEnd w:id="1"/>
          </w:p>
        </w:tc>
        <w:tc>
          <w:tcPr>
            <w:tcW w:w="1500" w:type="dxa"/>
            <w:vMerge w:val="restart"/>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1.下达《责令限期整改指令书》和《现场处理措施决定书》，责令其立即停止作业，排除事故隐患；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2.依法立案处罚。</w:t>
            </w:r>
          </w:p>
        </w:tc>
        <w:tc>
          <w:tcPr>
            <w:tcW w:w="4380" w:type="dxa"/>
            <w:vMerge w:val="restart"/>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谷物磨制重大事故隐患判定要点》（国家粮食和物资储备局公告2024年第4号）第三条第五项：“大米砻糠间、面粉散存仓、封闭式设备内部等划分为20区的粉尘爆炸危险场所电气设备不符合防爆要求，或者未落实粉尘清理制度，造成作业现场积尘严重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2.《安全生产法》第三十六条 安全设备的设计、制造、安装、使用、检测、维修、改造和报废，应当符合国家标准或者行业标准。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生产经营单位必须对安全设备进行经常性维护、保养，并定期检测，保证正常运转。维护、保养、检测应当作好记录，并由有关人员签字。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3.《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264"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76" w:type="dxa"/>
            <w:vAlign w:val="center"/>
          </w:tcPr>
          <w:p>
            <w:pPr>
              <w:keepNext w:val="0"/>
              <w:keepLines w:val="0"/>
              <w:widowControl/>
              <w:suppressLineNumbers w:val="0"/>
              <w:jc w:val="center"/>
              <w:textAlignment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Pr>
          <w:p>
            <w:pPr>
              <w:rPr>
                <w:vertAlign w:val="baseline"/>
              </w:rPr>
            </w:pPr>
          </w:p>
        </w:tc>
        <w:tc>
          <w:tcPr>
            <w:tcW w:w="984" w:type="dxa"/>
            <w:vMerge w:val="continue"/>
          </w:tcPr>
          <w:p>
            <w:pPr>
              <w:rPr>
                <w:vertAlign w:val="baseline"/>
              </w:rPr>
            </w:pPr>
          </w:p>
        </w:tc>
        <w:tc>
          <w:tcPr>
            <w:tcW w:w="1092" w:type="dxa"/>
          </w:tcPr>
          <w:p>
            <w:pPr>
              <w:keepNext w:val="0"/>
              <w:keepLines w:val="0"/>
              <w:widowControl/>
              <w:suppressLineNumbers w:val="0"/>
              <w:jc w:val="both"/>
              <w:textAlignment w:val="center"/>
              <w:rPr>
                <w:vertAlign w:val="baseline"/>
              </w:rPr>
            </w:pPr>
            <w:r>
              <w:rPr>
                <w:rFonts w:hint="eastAsia" w:ascii="仿宋" w:hAnsi="仿宋" w:eastAsia="仿宋" w:cs="仿宋"/>
                <w:i w:val="0"/>
                <w:color w:val="000000"/>
                <w:kern w:val="0"/>
                <w:sz w:val="24"/>
                <w:szCs w:val="24"/>
                <w:u w:val="none"/>
                <w:lang w:val="en-US" w:eastAsia="zh-CN" w:bidi="ar"/>
              </w:rPr>
              <w:t>6.是否制定和落实粉尘清理制度，作业现场是否积尘严重。</w:t>
            </w:r>
          </w:p>
        </w:tc>
        <w:tc>
          <w:tcPr>
            <w:tcW w:w="1188" w:type="dxa"/>
            <w:vMerge w:val="continue"/>
          </w:tcPr>
          <w:p>
            <w:pPr>
              <w:rPr>
                <w:vertAlign w:val="baseline"/>
              </w:rPr>
            </w:pPr>
          </w:p>
        </w:tc>
        <w:tc>
          <w:tcPr>
            <w:tcW w:w="1032" w:type="dxa"/>
          </w:tcPr>
          <w:p>
            <w:pPr>
              <w:rPr>
                <w:rFonts w:hint="eastAsia" w:ascii="仿宋" w:hAnsi="仿宋" w:eastAsia="仿宋" w:cs="仿宋"/>
                <w:i w:val="0"/>
                <w:color w:val="000000"/>
                <w:kern w:val="0"/>
                <w:sz w:val="24"/>
                <w:szCs w:val="24"/>
                <w:u w:val="none"/>
                <w:lang w:val="en-US" w:eastAsia="zh-CN" w:bidi="ar"/>
              </w:rPr>
            </w:pPr>
          </w:p>
          <w:p>
            <w:pPr>
              <w:rPr>
                <w:rFonts w:hint="eastAsia" w:ascii="仿宋" w:hAnsi="仿宋" w:eastAsia="仿宋" w:cs="仿宋"/>
                <w:i w:val="0"/>
                <w:color w:val="000000"/>
                <w:kern w:val="0"/>
                <w:sz w:val="24"/>
                <w:szCs w:val="24"/>
                <w:u w:val="none"/>
                <w:lang w:val="en-US" w:eastAsia="zh-CN" w:bidi="ar"/>
              </w:rPr>
            </w:pPr>
          </w:p>
          <w:p>
            <w:pPr>
              <w:jc w:val="center"/>
              <w:rPr>
                <w:vertAlign w:val="baseline"/>
              </w:rPr>
            </w:pPr>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p>
        </w:tc>
        <w:tc>
          <w:tcPr>
            <w:tcW w:w="1500" w:type="dxa"/>
            <w:vMerge w:val="continue"/>
          </w:tcPr>
          <w:p>
            <w:pPr>
              <w:rPr>
                <w:vertAlign w:val="baseline"/>
              </w:rPr>
            </w:pPr>
          </w:p>
        </w:tc>
        <w:tc>
          <w:tcPr>
            <w:tcW w:w="4380" w:type="dxa"/>
            <w:vMerge w:val="continue"/>
          </w:tcPr>
          <w:p>
            <w:pPr>
              <w:rPr>
                <w:vertAlign w:val="baseline"/>
              </w:rPr>
            </w:pPr>
          </w:p>
        </w:tc>
        <w:tc>
          <w:tcPr>
            <w:tcW w:w="3264" w:type="dxa"/>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2.《安全生产法》第九十九条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(一)未在有较大危险因素的生产经营场所和有关设施、设备上设置明显的安全警示标志的。                                (二)安全设备的安装、使用、检测、改造和报废不符合国家标准或者行业标准的; </w:t>
            </w:r>
          </w:p>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(三)未对安全设备进行经常性维护、保养和定期检测的;  </w:t>
            </w:r>
            <w:r>
              <w:rPr>
                <w:rFonts w:hint="eastAsia"/>
                <w:vertAlign w:val="baseline"/>
              </w:rPr>
              <w:t xml:space="preserve">     </w:t>
            </w:r>
          </w:p>
        </w:tc>
        <w:tc>
          <w:tcPr>
            <w:tcW w:w="87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660"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6</w:t>
            </w:r>
          </w:p>
        </w:tc>
        <w:tc>
          <w:tcPr>
            <w:tcW w:w="984"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有限空间作业</w:t>
            </w:r>
          </w:p>
        </w:tc>
        <w:tc>
          <w:tcPr>
            <w:tcW w:w="1092" w:type="dxa"/>
            <w:vAlign w:val="center"/>
          </w:tcPr>
          <w:p>
            <w:pPr>
              <w:keepNext w:val="0"/>
              <w:keepLines w:val="0"/>
              <w:widowControl/>
              <w:suppressLineNumbers w:val="0"/>
              <w:jc w:val="both"/>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7.是否对有限空间进行辨识、建立安全管理台账，并且设置明显的安全警示标志。</w:t>
            </w:r>
          </w:p>
        </w:tc>
        <w:tc>
          <w:tcPr>
            <w:tcW w:w="1188"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color w:val="000000"/>
                <w:kern w:val="0"/>
                <w:sz w:val="24"/>
                <w:szCs w:val="24"/>
                <w:u w:val="none"/>
                <w:lang w:val="en-US" w:eastAsia="zh-CN" w:bidi="ar"/>
              </w:rPr>
              <w:t>现场检查</w:t>
            </w:r>
          </w:p>
        </w:tc>
        <w:tc>
          <w:tcPr>
            <w:tcW w:w="1032" w:type="dxa"/>
            <w:vAlign w:val="center"/>
          </w:tcPr>
          <w:p>
            <w:pPr>
              <w:keepNext w:val="0"/>
              <w:keepLines w:val="0"/>
              <w:widowControl/>
              <w:suppressLineNumbers w:val="0"/>
              <w:jc w:val="center"/>
              <w:textAlignment w:val="center"/>
              <w:rPr>
                <w:vertAlign w:val="baseline"/>
              </w:rPr>
            </w:pPr>
            <w:bookmarkStart w:id="2" w:name="OLE_LINK2"/>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bookmarkEnd w:id="2"/>
          </w:p>
        </w:tc>
        <w:tc>
          <w:tcPr>
            <w:tcW w:w="1500" w:type="dxa"/>
            <w:vMerge w:val="restart"/>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1.下达《责令限期整改指令书》和《现场处理措施决定书》，责令其立即停止作业，排除事故隐患；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2.依法立案处罚。</w:t>
            </w:r>
          </w:p>
        </w:tc>
        <w:tc>
          <w:tcPr>
            <w:tcW w:w="4380" w:type="dxa"/>
            <w:vMerge w:val="restart"/>
            <w:vAlign w:val="center"/>
          </w:tcPr>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 xml:space="preserve">   1.《谷物磨制重大事故隐患判定要点》（国家粮食和物资储备局公告2024年第4号）第三条第六项：“未对存在硫化氢、一氧化碳等中毒风险的有限空间进行辨识并设置明显的安全警示标志，或者未落实有限空间作业审批，或者作业现场未设置监护人员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3.《安全生产法》第四十三条 生产经营单位进行爆破、吊装、动火、临时用电以及国务院应急管理部门会同国务院有关部门规定的其他危险作业，应当安排专门人员进行现场安全管理，确保操作规程的遵守和安全措施的落实。</w:t>
            </w:r>
          </w:p>
        </w:tc>
        <w:tc>
          <w:tcPr>
            <w:tcW w:w="3264" w:type="dxa"/>
            <w:vMerge w:val="restart"/>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1.《安全生产法》第九十九条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(一)未在有较大危险因素的生产经营场所和有关设施、设备上设置明显的安全警示标志的;                                  2.《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（三）进行爆破、吊装、动火、临时用电以及国务院应急管理部门会同国务院有关部门规定的其他危险作业，未安排专门人员进行现场安全管理的；                     3.《安全生产法》第一</w:t>
            </w:r>
          </w:p>
          <w:p>
            <w:pPr>
              <w:keepNext w:val="0"/>
              <w:keepLines w:val="0"/>
              <w:widowControl/>
              <w:suppressLineNumbers w:val="0"/>
              <w:jc w:val="left"/>
              <w:textAlignment w:val="center"/>
              <w:rPr>
                <w:vertAlign w:val="baseline"/>
              </w:rPr>
            </w:pPr>
            <w:r>
              <w:rPr>
                <w:rFonts w:hint="eastAsia" w:ascii="仿宋" w:hAnsi="仿宋" w:eastAsia="仿宋" w:cs="仿宋"/>
                <w:i w:val="0"/>
                <w:color w:val="000000"/>
                <w:kern w:val="0"/>
                <w:sz w:val="24"/>
                <w:szCs w:val="24"/>
                <w:u w:val="none"/>
                <w:lang w:val="en-US" w:eastAsia="zh-CN" w:bidi="ar"/>
              </w:rPr>
              <w:t>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76" w:type="dxa"/>
            <w:vMerge w:val="restart"/>
            <w:vAlign w:val="center"/>
          </w:tcPr>
          <w:p>
            <w:pPr>
              <w:jc w:val="left"/>
              <w:rPr>
                <w:vertAlign w:val="baseline"/>
              </w:rPr>
            </w:pPr>
          </w:p>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660" w:type="dxa"/>
            <w:vMerge w:val="continue"/>
            <w:vAlign w:val="center"/>
          </w:tcPr>
          <w:p>
            <w:pPr>
              <w:keepNext w:val="0"/>
              <w:keepLines w:val="0"/>
              <w:widowControl/>
              <w:suppressLineNumbers w:val="0"/>
              <w:jc w:val="both"/>
              <w:textAlignment w:val="center"/>
            </w:pPr>
          </w:p>
        </w:tc>
        <w:tc>
          <w:tcPr>
            <w:tcW w:w="984" w:type="dxa"/>
            <w:vMerge w:val="continue"/>
            <w:vAlign w:val="center"/>
          </w:tcPr>
          <w:p>
            <w:pPr>
              <w:keepNext w:val="0"/>
              <w:keepLines w:val="0"/>
              <w:widowControl/>
              <w:suppressLineNumbers w:val="0"/>
              <w:jc w:val="both"/>
              <w:textAlignment w:val="center"/>
            </w:pPr>
          </w:p>
        </w:tc>
        <w:tc>
          <w:tcPr>
            <w:tcW w:w="1092" w:type="dxa"/>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8.是否落实有限空间作业审批，是否执行“先通风、再监测、后作业”要求，或者作业现场是否设置监护人员。</w:t>
            </w:r>
          </w:p>
        </w:tc>
        <w:tc>
          <w:tcPr>
            <w:tcW w:w="1188" w:type="dxa"/>
            <w:vMerge w:val="continue"/>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p>
        </w:tc>
        <w:tc>
          <w:tcPr>
            <w:tcW w:w="10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p>
        </w:tc>
        <w:tc>
          <w:tcPr>
            <w:tcW w:w="1500" w:type="dxa"/>
            <w:vMerge w:val="continue"/>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p>
        </w:tc>
        <w:tc>
          <w:tcPr>
            <w:tcW w:w="4380" w:type="dxa"/>
            <w:vMerge w:val="continue"/>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p>
        </w:tc>
        <w:tc>
          <w:tcPr>
            <w:tcW w:w="3264" w:type="dxa"/>
            <w:vMerge w:val="continue"/>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p>
        </w:tc>
        <w:tc>
          <w:tcPr>
            <w:tcW w:w="876" w:type="dxa"/>
            <w:vMerge w:val="continue"/>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660" w:type="dxa"/>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4"/>
                <w:szCs w:val="24"/>
                <w:u w:val="none"/>
                <w:lang w:val="en-US" w:eastAsia="zh-CN" w:bidi="ar"/>
              </w:rPr>
              <w:t>7</w:t>
            </w:r>
          </w:p>
        </w:tc>
        <w:tc>
          <w:tcPr>
            <w:tcW w:w="984" w:type="dxa"/>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4"/>
                <w:szCs w:val="24"/>
                <w:u w:val="none"/>
                <w:lang w:val="en-US" w:eastAsia="zh-CN" w:bidi="ar"/>
              </w:rPr>
              <w:t>其他</w:t>
            </w:r>
          </w:p>
        </w:tc>
        <w:tc>
          <w:tcPr>
            <w:tcW w:w="109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9.是否有其他严重违反涉及谷物磨制生产活动的法律法规及标准规范且存在危害程度较大、可能导致重大事故，或者重大经济损失现实危险的行为。</w:t>
            </w:r>
          </w:p>
        </w:tc>
        <w:tc>
          <w:tcPr>
            <w:tcW w:w="11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查阅资料    现场检查</w:t>
            </w:r>
          </w:p>
        </w:tc>
        <w:tc>
          <w:tcPr>
            <w:tcW w:w="10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不涉及□</w:t>
            </w:r>
          </w:p>
        </w:tc>
        <w:tc>
          <w:tcPr>
            <w:tcW w:w="1500" w:type="dxa"/>
            <w:vAlign w:val="center"/>
          </w:tcPr>
          <w:p>
            <w:pPr>
              <w:jc w:val="center"/>
              <w:rPr>
                <w:rFonts w:hint="eastAsia" w:ascii="仿宋" w:hAnsi="仿宋" w:eastAsia="仿宋" w:cs="仿宋"/>
                <w:i w:val="0"/>
                <w:color w:val="000000"/>
                <w:kern w:val="0"/>
                <w:sz w:val="24"/>
                <w:szCs w:val="24"/>
                <w:u w:val="none"/>
                <w:lang w:val="en-US" w:eastAsia="zh-CN" w:bidi="ar"/>
              </w:rPr>
            </w:pPr>
          </w:p>
        </w:tc>
        <w:tc>
          <w:tcPr>
            <w:tcW w:w="4380"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1.《谷物磨制重大事故隐患判定要点》（国家粮食和物资储备局公告2024年第4号）第三条第七项：“其他严重违反涉及谷物磨制生产活动的法律法规及标准规范且存在危害程度较大、可能导致重大事故，或者重大经济损失现实危险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p>
        </w:tc>
        <w:tc>
          <w:tcPr>
            <w:tcW w:w="3264"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《安全生产法》第一百零二条</w:t>
            </w:r>
            <w:r>
              <w:rPr>
                <w:rFonts w:hint="default" w:ascii="Times New Roman" w:hAnsi="Times New Roman" w:eastAsia="仿宋" w:cs="Times New Roman"/>
                <w:i w:val="0"/>
                <w:color w:val="000000"/>
                <w:kern w:val="0"/>
                <w:sz w:val="24"/>
                <w:szCs w:val="24"/>
                <w:u w:val="none"/>
                <w:lang w:val="en-US" w:eastAsia="zh-CN" w:bidi="ar"/>
              </w:rPr>
              <w:t> </w:t>
            </w:r>
            <w:r>
              <w:rPr>
                <w:rFonts w:hint="eastAsia" w:ascii="仿宋" w:hAnsi="仿宋" w:eastAsia="仿宋" w:cs="仿宋"/>
                <w:i w:val="0"/>
                <w:color w:val="000000"/>
                <w:kern w:val="0"/>
                <w:sz w:val="24"/>
                <w:szCs w:val="24"/>
                <w:u w:val="none"/>
                <w:lang w:val="en-US" w:eastAsia="zh-CN" w:bidi="ar"/>
              </w:rPr>
              <w:t>生产经营单位未采取措施消除事故隐患的，责令立即消除或者限期消除，处五万元以下的罚款；生产经营单位拒不执行的，责令停产停业整顿； 对其直接负责的主管人员和其他直接责任人员处五万元以上十万元以下的罚款； 构成犯罪的，依照刑法有关规定追究刑事责任。</w:t>
            </w:r>
            <w:r>
              <w:rPr>
                <w:rFonts w:hint="default" w:ascii="Times New Roman" w:hAnsi="Times New Roman" w:eastAsia="仿宋" w:cs="Times New Roman"/>
                <w:i w:val="0"/>
                <w:color w:val="000000"/>
                <w:kern w:val="0"/>
                <w:sz w:val="24"/>
                <w:szCs w:val="24"/>
                <w:u w:val="none"/>
                <w:lang w:val="en-US" w:eastAsia="zh-CN" w:bidi="ar"/>
              </w:rPr>
              <w:t> </w:t>
            </w:r>
          </w:p>
        </w:tc>
        <w:tc>
          <w:tcPr>
            <w:tcW w:w="876" w:type="dxa"/>
            <w:vAlign w:val="center"/>
          </w:tcPr>
          <w:p>
            <w:pPr>
              <w:rPr>
                <w:rFonts w:hint="eastAsia" w:ascii="仿宋" w:hAnsi="仿宋" w:eastAsia="仿宋" w:cs="仿宋"/>
                <w:i w:val="0"/>
                <w:color w:val="000000"/>
                <w:kern w:val="0"/>
                <w:sz w:val="24"/>
                <w:szCs w:val="24"/>
                <w:u w:val="none"/>
                <w:lang w:val="en-US" w:eastAsia="zh-CN" w:bidi="ar"/>
              </w:rPr>
            </w:pPr>
          </w:p>
        </w:tc>
      </w:tr>
    </w:tbl>
    <w:p/>
    <w:sectPr>
      <w:footerReference r:id="rId3" w:type="default"/>
      <w:pgSz w:w="16838" w:h="11906" w:orient="landscape"/>
      <w:pgMar w:top="1689" w:right="1440" w:bottom="1689"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M2FhYmMzNDhiMGNiMDMwOGYwY2E1N2VhYzgzMmEifQ=="/>
  </w:docVars>
  <w:rsids>
    <w:rsidRoot w:val="428713B7"/>
    <w:rsid w:val="192D3C86"/>
    <w:rsid w:val="3075311F"/>
    <w:rsid w:val="428713B7"/>
    <w:rsid w:val="46461E67"/>
    <w:rsid w:val="4CF47791"/>
    <w:rsid w:val="4FA418C8"/>
    <w:rsid w:val="65271A64"/>
    <w:rsid w:val="7E8D4CAE"/>
    <w:rsid w:val="7F21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next w:val="4"/>
    <w:qFormat/>
    <w:uiPriority w:val="0"/>
    <w:pPr>
      <w:widowControl w:val="0"/>
      <w:spacing w:line="360" w:lineRule="auto"/>
      <w:jc w:val="both"/>
    </w:pPr>
    <w:rPr>
      <w:rFonts w:ascii="宋体" w:hAnsi="Times New Roman" w:eastAsia="宋体" w:cs="Times New Roman"/>
      <w:b/>
      <w:spacing w:val="-6"/>
      <w:kern w:val="2"/>
      <w:sz w:val="24"/>
      <w:szCs w:val="24"/>
      <w:lang w:val="en-US" w:eastAsia="zh-CN" w:bidi="ar-SA"/>
    </w:rPr>
  </w:style>
  <w:style w:type="paragraph" w:customStyle="1" w:styleId="4">
    <w:name w:val="Body Text 21"/>
    <w:qFormat/>
    <w:uiPriority w:val="0"/>
    <w:pPr>
      <w:widowControl w:val="0"/>
      <w:spacing w:after="120" w:line="480" w:lineRule="auto"/>
      <w:jc w:val="both"/>
    </w:pPr>
    <w:rPr>
      <w:rFonts w:ascii="Arial" w:hAnsi="Arial" w:eastAsia="仿宋_GB2312" w:cs="Times New Roman"/>
      <w:kern w:val="2"/>
      <w:sz w:val="3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51"/>
    <w:basedOn w:val="9"/>
    <w:qFormat/>
    <w:uiPriority w:val="0"/>
    <w:rPr>
      <w:rFonts w:hint="eastAsia" w:ascii="仿宋" w:hAnsi="仿宋" w:eastAsia="仿宋" w:cs="仿宋"/>
      <w:color w:val="000000"/>
      <w:sz w:val="24"/>
      <w:szCs w:val="24"/>
      <w:u w:val="none"/>
    </w:rPr>
  </w:style>
  <w:style w:type="character" w:customStyle="1" w:styleId="11">
    <w:name w:val="font01"/>
    <w:basedOn w:val="9"/>
    <w:qFormat/>
    <w:uiPriority w:val="0"/>
    <w:rPr>
      <w:rFonts w:hint="default" w:ascii="Times New Roman" w:hAnsi="Times New Roman" w:cs="Times New Roman"/>
      <w:color w:val="000000"/>
      <w:sz w:val="24"/>
      <w:szCs w:val="24"/>
      <w:u w:val="none"/>
    </w:rPr>
  </w:style>
  <w:style w:type="character" w:customStyle="1" w:styleId="12">
    <w:name w:val="font1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5806</Words>
  <Characters>5884</Characters>
  <Lines>0</Lines>
  <Paragraphs>0</Paragraphs>
  <TotalTime>47</TotalTime>
  <ScaleCrop>false</ScaleCrop>
  <LinksUpToDate>false</LinksUpToDate>
  <CharactersWithSpaces>6222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2025-01-14T03:05:00Z</dcterms:created>
  <dc:creator>P</dc:creator>
  <cp:lastModifiedBy>P</cp:lastModifiedBy>
  <cp:lastPrinted>2025-01-17T06:09:00Z</cp:lastPrinted>
  <dcterms:modified xsi:type="dcterms:W3CDTF">2025-02-12T02:11:48Z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0B9BFA65484148E59AF9A97E01DB3748_13</vt:lpwstr>
  </property>
</Properties>
</file>